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861"/>
        <w:gridCol w:w="7661"/>
      </w:tblGrid>
      <w:tr w:rsidR="00C071A3" w:rsidRPr="000114A3" w:rsidTr="00C363B2">
        <w:tc>
          <w:tcPr>
            <w:tcW w:w="942" w:type="dxa"/>
          </w:tcPr>
          <w:p w:rsidR="00C071A3" w:rsidRPr="000114A3" w:rsidRDefault="00C071A3" w:rsidP="00C363B2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0114A3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</w:p>
          <w:p w:rsidR="00C071A3" w:rsidRPr="000114A3" w:rsidRDefault="00C071A3" w:rsidP="00C363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8805" w:type="dxa"/>
          </w:tcPr>
          <w:p w:rsidR="00C071A3" w:rsidRDefault="00C071A3" w:rsidP="00C363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ΠΡΟΜΗΘΕΙΑ</w:t>
            </w:r>
            <w:r w:rsidRPr="006D76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ETOIMOY</w:t>
            </w:r>
            <w:r w:rsidRPr="006D76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ΣΚΥΡΟΔΕΜΑΤΟΣ ΣΥΝΤΗΡΗΣΗΣ ΟΔΙΚΟΥ ΔΙΚΤΥΟΥ              </w:t>
            </w:r>
          </w:p>
          <w:p w:rsidR="00C071A3" w:rsidRPr="006D76CC" w:rsidRDefault="00C071A3" w:rsidP="00C363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Δ.Ε ΠΑΛΙΚΗΣ</w:t>
            </w:r>
          </w:p>
          <w:p w:rsidR="00C071A3" w:rsidRDefault="00C071A3" w:rsidP="00C363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  <w:p w:rsidR="00C071A3" w:rsidRPr="000114A3" w:rsidRDefault="00C071A3" w:rsidP="00C363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ΤΕΧΝΙΚΗ ΕΚΘΕΣΗ</w:t>
            </w:r>
          </w:p>
        </w:tc>
      </w:tr>
    </w:tbl>
    <w:p w:rsidR="00C071A3" w:rsidRPr="000114A3" w:rsidRDefault="00C071A3" w:rsidP="00C071A3">
      <w:pPr>
        <w:jc w:val="right"/>
        <w:rPr>
          <w:rFonts w:ascii="Arial" w:hAnsi="Arial" w:cs="Arial"/>
          <w:b/>
          <w:sz w:val="22"/>
          <w:szCs w:val="22"/>
        </w:rPr>
      </w:pPr>
    </w:p>
    <w:p w:rsidR="00C071A3" w:rsidRPr="00500B34" w:rsidRDefault="00C071A3" w:rsidP="00C071A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6350E">
        <w:rPr>
          <w:rFonts w:ascii="Arial" w:hAnsi="Arial" w:cs="Arial"/>
          <w:color w:val="auto"/>
          <w:sz w:val="22"/>
          <w:szCs w:val="22"/>
          <w:lang w:eastAsia="zh-CN"/>
        </w:rPr>
        <w:t xml:space="preserve">   Με την</w:t>
      </w:r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 παρούσα μελέτη </w:t>
      </w:r>
      <w:r>
        <w:rPr>
          <w:rFonts w:ascii="Arial" w:hAnsi="Arial" w:cs="Arial"/>
          <w:b/>
          <w:color w:val="auto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προβλέπεται η προμήθεια σκυροδέματος του τύπου 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6F5A8F">
        <w:rPr>
          <w:rFonts w:ascii="Arial" w:hAnsi="Arial" w:cs="Arial"/>
          <w:sz w:val="22"/>
          <w:szCs w:val="22"/>
        </w:rPr>
        <w:t xml:space="preserve">16/20 </w:t>
      </w:r>
      <w:r>
        <w:rPr>
          <w:rFonts w:ascii="Arial" w:hAnsi="Arial" w:cs="Arial"/>
          <w:sz w:val="22"/>
          <w:szCs w:val="22"/>
        </w:rPr>
        <w:t>ποσότητας 375 μ3  καθώς και η προμήθεια δομικού πλέγματος,Β500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0574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ποσότητας 5.494 Κ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CC6D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και αφορούν την επισκευή και βελτίωση του οδικού δικτύου της Δ.Ε </w:t>
      </w:r>
      <w:proofErr w:type="spellStart"/>
      <w:r>
        <w:rPr>
          <w:rFonts w:ascii="Arial" w:hAnsi="Arial" w:cs="Arial"/>
          <w:sz w:val="22"/>
          <w:szCs w:val="22"/>
        </w:rPr>
        <w:t>Παλικής</w:t>
      </w:r>
      <w:proofErr w:type="spellEnd"/>
      <w:r w:rsidRPr="0005740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(Αποκατάσταση φθορών οδοστρωμάτων,</w:t>
      </w:r>
      <w:r w:rsidRPr="00057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πεζοδρομίων, κατασκευή τοιχίων αντιστήριξης σε διάφορα σημεία του οδικού δικτύου που έχουν αστοχήσει από κατολισθήσεις η καθιζήσεις λόγω των βροχοπτώσεων, και των σεισμών που έπληξαν το νησί μας.</w:t>
      </w:r>
    </w:p>
    <w:p w:rsidR="00C071A3" w:rsidRPr="00216E5B" w:rsidRDefault="00C071A3" w:rsidP="00C071A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6E5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Οι ποσότητες της παρούσης προμήθειας θα παραδίδονται τμηματικά από ιδιωτικές μονάδες παραγωγής και θα ενσωματώνονται σε έργα και εργασίες που θα προκύπτουν σε διάφορα σημεία στα όρια της Δ.Ε </w:t>
      </w:r>
      <w:proofErr w:type="spellStart"/>
      <w:r>
        <w:rPr>
          <w:rFonts w:ascii="Arial" w:hAnsi="Arial" w:cs="Arial"/>
          <w:sz w:val="22"/>
          <w:szCs w:val="22"/>
        </w:rPr>
        <w:t>Παλικής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071A3" w:rsidRDefault="00C071A3" w:rsidP="00C071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Οι εργασίες διάστρωσης συμπύκνωσης και τοποθέτησης του υλικού, θα γίνεται από το εργατοτεχνικό προσωπικό του Δήμου με την επίβλεψη 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Υπηρεσιών</w:t>
      </w:r>
      <w:r w:rsidRPr="000574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ενώ τα υλικά θα καλύπτονται με τα ισχύοντα πιστοποιητικά</w:t>
      </w:r>
      <w:r w:rsidRPr="00155D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n-US"/>
        </w:rPr>
        <w:t>ISO</w:t>
      </w:r>
      <w:r w:rsidRPr="00155D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n-US"/>
        </w:rPr>
        <w:t>EN</w:t>
      </w:r>
      <w:r w:rsidRPr="00155D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n-US"/>
        </w:rPr>
        <w:t>CE</w:t>
      </w:r>
    </w:p>
    <w:p w:rsidR="00C071A3" w:rsidRPr="00532320" w:rsidRDefault="00C071A3" w:rsidP="00C071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Για τα αδρανή του σκυροδέματος ισχύει το πρότυπο ΕΛΟΤ ΕΝ 12620 </w:t>
      </w:r>
      <w:r w:rsidRPr="00532320">
        <w:rPr>
          <w:rFonts w:ascii="Arial" w:hAnsi="Arial" w:cs="Arial"/>
          <w:sz w:val="22"/>
          <w:szCs w:val="22"/>
        </w:rPr>
        <w:t xml:space="preserve">:2002( </w:t>
      </w:r>
      <w:r>
        <w:rPr>
          <w:rFonts w:ascii="Arial" w:hAnsi="Arial" w:cs="Arial"/>
          <w:sz w:val="22"/>
          <w:szCs w:val="22"/>
        </w:rPr>
        <w:t xml:space="preserve">ΚΥΑ 5328/122/ΦΕΚ386Β/20-3-2007), για την παραγωγή και μεταφορά του σκυροδέματος ισχύει η Ελληνική Τεχνική Προδιαγραφή ΕΛΟΤ ΤΟ 1501-01-01-00 που εγκρίθηκε μαζί με 440 (ΕΤΕΠ) με την </w:t>
      </w:r>
      <w:proofErr w:type="spellStart"/>
      <w:r>
        <w:rPr>
          <w:rFonts w:ascii="Arial" w:hAnsi="Arial" w:cs="Arial"/>
          <w:sz w:val="22"/>
          <w:szCs w:val="22"/>
        </w:rPr>
        <w:t>υπ.αριθ</w:t>
      </w:r>
      <w:proofErr w:type="spellEnd"/>
      <w:r>
        <w:rPr>
          <w:rFonts w:ascii="Arial" w:hAnsi="Arial" w:cs="Arial"/>
          <w:sz w:val="22"/>
          <w:szCs w:val="22"/>
        </w:rPr>
        <w:t>. ΔΙΠΑΔ/ΟΙΚ/273/ΦΕΚ 2221Β/30-7-2012 Υπουργική Απόφαση και γενικώς εφαρμόζεται ο (Κ.Τ.Σ)</w:t>
      </w:r>
    </w:p>
    <w:p w:rsidR="00B0365E" w:rsidRPr="00B0365E" w:rsidRDefault="00C071A3" w:rsidP="00B0365E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314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Όλα τα  υλικά θα ακολουθούν τις σχετικές Εθνικές Τεχνικές Προδιαγραφές καθώς και τα σχετικά Ευρωπαϊκά Πρότυπα. Για τη διενέργεια του διαγωνισμού και την εκτέλεση της προμήθειας </w:t>
      </w:r>
      <w:r w:rsidRPr="00CC3287">
        <w:rPr>
          <w:rFonts w:ascii="Arial" w:hAnsi="Arial" w:cs="Arial"/>
          <w:szCs w:val="22"/>
        </w:rPr>
        <w:t>ισχύουν οι διατάξεις</w:t>
      </w:r>
      <w:r w:rsidRPr="00E06028">
        <w:rPr>
          <w:rFonts w:ascii="Arial" w:hAnsi="Arial" w:cs="Arial"/>
          <w:b/>
          <w:szCs w:val="22"/>
        </w:rPr>
        <w:t xml:space="preserve"> </w:t>
      </w:r>
      <w:r w:rsidRPr="00E06028">
        <w:rPr>
          <w:rFonts w:ascii="Arial" w:hAnsi="Arial" w:cs="Arial"/>
          <w:szCs w:val="22"/>
        </w:rPr>
        <w:t>:</w:t>
      </w:r>
    </w:p>
    <w:p w:rsidR="00C071A3" w:rsidRPr="00B0365E" w:rsidRDefault="00B0365E" w:rsidP="00B0365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0365E">
        <w:rPr>
          <w:rFonts w:ascii="Arial" w:hAnsi="Arial" w:cs="Arial"/>
          <w:szCs w:val="22"/>
        </w:rPr>
        <w:t xml:space="preserve">       </w:t>
      </w:r>
      <w:r w:rsidR="00C071A3" w:rsidRPr="008A35FD">
        <w:rPr>
          <w:rFonts w:ascii="Arial" w:hAnsi="Arial" w:cs="Arial"/>
          <w:szCs w:val="22"/>
        </w:rPr>
        <w:t xml:space="preserve">1) </w:t>
      </w:r>
      <w:r w:rsidR="00C071A3">
        <w:rPr>
          <w:rFonts w:ascii="Arial" w:hAnsi="Arial" w:cs="Arial"/>
          <w:szCs w:val="22"/>
        </w:rPr>
        <w:t>του Ν.2286/95 ¨Προμήθειες του Δημόσιου Τομέα και Ρυθμίσεις συναφών θεμάτων¨</w:t>
      </w:r>
    </w:p>
    <w:p w:rsidR="00C071A3" w:rsidRDefault="00C071A3" w:rsidP="00C071A3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2) της απόφασης του ΥΠ. Εσωτερικών 11389/93 ¨ Ενιαίος κανονισμός προμηθειών</w:t>
      </w:r>
    </w:p>
    <w:p w:rsidR="00C071A3" w:rsidRDefault="00C071A3" w:rsidP="00C071A3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  οργανισμών Τοπικής Αυτοδιοίκησης¨ (Φ.Ε.Κ 185/Β</w:t>
      </w:r>
      <w:r w:rsidRPr="00BF3D9C">
        <w:rPr>
          <w:rFonts w:ascii="Arial" w:hAnsi="Arial" w:cs="Arial"/>
          <w:b w:val="0"/>
          <w:szCs w:val="22"/>
        </w:rPr>
        <w:t>/23.3.93</w:t>
      </w:r>
      <w:r>
        <w:rPr>
          <w:rFonts w:ascii="Arial" w:hAnsi="Arial" w:cs="Arial"/>
          <w:b w:val="0"/>
          <w:szCs w:val="22"/>
        </w:rPr>
        <w:t>)</w:t>
      </w:r>
    </w:p>
    <w:p w:rsidR="00C071A3" w:rsidRDefault="00C071A3" w:rsidP="00C071A3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3) του Π.Δ 370/95 ¨Προσαρμογή της ελληνικής Νομοθεσίας </w:t>
      </w:r>
      <w:proofErr w:type="spellStart"/>
      <w:r>
        <w:rPr>
          <w:rFonts w:ascii="Arial" w:hAnsi="Arial" w:cs="Arial"/>
          <w:b w:val="0"/>
          <w:szCs w:val="22"/>
        </w:rPr>
        <w:t>περι</w:t>
      </w:r>
      <w:proofErr w:type="spellEnd"/>
      <w:r>
        <w:rPr>
          <w:rFonts w:ascii="Arial" w:hAnsi="Arial" w:cs="Arial"/>
          <w:b w:val="0"/>
          <w:szCs w:val="22"/>
        </w:rPr>
        <w:t xml:space="preserve"> προμηθειών του Δημοσίου </w:t>
      </w:r>
    </w:p>
    <w:p w:rsidR="00C071A3" w:rsidRDefault="00C071A3" w:rsidP="00C071A3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  προς το Κοινοτικό Δίκαιο…..¨ (Φ.Ε.Κ 199/Α)</w:t>
      </w:r>
    </w:p>
    <w:p w:rsidR="00C071A3" w:rsidRPr="00BF3D9C" w:rsidRDefault="00C071A3" w:rsidP="00C071A3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4) τις διατάξεις του Δ.Κ.Κ (Ν.3463</w:t>
      </w:r>
      <w:r w:rsidRPr="00BF3D9C">
        <w:rPr>
          <w:rFonts w:ascii="Arial" w:hAnsi="Arial" w:cs="Arial"/>
          <w:b w:val="0"/>
          <w:szCs w:val="22"/>
        </w:rPr>
        <w:t>/06)</w:t>
      </w:r>
    </w:p>
    <w:p w:rsidR="00C071A3" w:rsidRDefault="00C071A3" w:rsidP="00C071A3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5) Ν.3852/2010 νόμος Καλλικράτη</w:t>
      </w:r>
    </w:p>
    <w:p w:rsidR="00C071A3" w:rsidRDefault="00C071A3" w:rsidP="00B0365E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6) Τις σχετικές σε ισχύ εγκυκλίους που έχουν εκδοθεί κατ</w:t>
      </w:r>
      <w:r w:rsidR="00B0365E">
        <w:rPr>
          <w:rFonts w:ascii="Arial" w:hAnsi="Arial" w:cs="Arial"/>
          <w:b w:val="0"/>
          <w:szCs w:val="22"/>
        </w:rPr>
        <w:t xml:space="preserve">ά καιρούς και αφορούν προμήθειες </w:t>
      </w:r>
      <w:r>
        <w:rPr>
          <w:rFonts w:ascii="Arial" w:hAnsi="Arial" w:cs="Arial"/>
          <w:b w:val="0"/>
          <w:szCs w:val="22"/>
        </w:rPr>
        <w:t>ΟΤΑ, όταν αυτές δεν έρχονται σε αντίθεση με το ν.2286/95</w:t>
      </w:r>
    </w:p>
    <w:p w:rsidR="00C071A3" w:rsidRPr="00BF3D9C" w:rsidRDefault="00C071A3" w:rsidP="00B0365E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7) του Ν.3861/10</w:t>
      </w:r>
      <w:r w:rsidRPr="00BF3D9C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ενίσχυση της διαφάνειας με τη</w:t>
      </w:r>
      <w:r w:rsidR="00B0365E">
        <w:rPr>
          <w:rFonts w:ascii="Arial" w:hAnsi="Arial" w:cs="Arial"/>
          <w:b w:val="0"/>
          <w:szCs w:val="22"/>
        </w:rPr>
        <w:t xml:space="preserve">ν υποχρεωτική ανάρτηση νόμων και </w:t>
      </w:r>
      <w:r>
        <w:rPr>
          <w:rFonts w:ascii="Arial" w:hAnsi="Arial" w:cs="Arial"/>
          <w:b w:val="0"/>
          <w:szCs w:val="22"/>
        </w:rPr>
        <w:t xml:space="preserve">πράξεων των κυβερνητικών, διοικητικών και </w:t>
      </w:r>
      <w:proofErr w:type="spellStart"/>
      <w:r>
        <w:rPr>
          <w:rFonts w:ascii="Arial" w:hAnsi="Arial" w:cs="Arial"/>
          <w:b w:val="0"/>
          <w:szCs w:val="22"/>
        </w:rPr>
        <w:t>αυτοδιοκητικών</w:t>
      </w:r>
      <w:proofErr w:type="spellEnd"/>
      <w:r>
        <w:rPr>
          <w:rFonts w:ascii="Arial" w:hAnsi="Arial" w:cs="Arial"/>
          <w:b w:val="0"/>
          <w:szCs w:val="22"/>
        </w:rPr>
        <w:t xml:space="preserve"> οργάνων στο διαδίκτυο</w:t>
      </w:r>
      <w:r w:rsidR="00B0365E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 xml:space="preserve"> ¨Πρόγραμμα Διαύγεια¨ και άλλες διατάξεις (ΦΕΚ.112</w:t>
      </w:r>
      <w:r w:rsidRPr="00BF3D9C">
        <w:rPr>
          <w:rFonts w:ascii="Arial" w:hAnsi="Arial" w:cs="Arial"/>
          <w:b w:val="0"/>
          <w:szCs w:val="22"/>
          <w:vertAlign w:val="superscript"/>
        </w:rPr>
        <w:t>Α</w:t>
      </w:r>
      <w:r>
        <w:rPr>
          <w:rFonts w:ascii="Arial" w:hAnsi="Arial" w:cs="Arial"/>
          <w:b w:val="0"/>
          <w:szCs w:val="22"/>
        </w:rPr>
        <w:t>/13.7.10)</w:t>
      </w:r>
    </w:p>
    <w:p w:rsidR="00C071A3" w:rsidRDefault="00C071A3" w:rsidP="00B0365E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8)  του Ν.4013/11 σύσταση ενιαίας Ανεξάρτητης Αρχής Δημοσίων Συμβάσεων &amp; Κεντρικού</w:t>
      </w:r>
      <w:r w:rsidR="00B0365E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 xml:space="preserve"> Ηλεκτρονικού Μητρώου Δημοσίων Συμβάσεων (ΦΕΚ.204</w:t>
      </w:r>
      <w:r w:rsidRPr="0013172B">
        <w:rPr>
          <w:rFonts w:ascii="Arial" w:hAnsi="Arial" w:cs="Arial"/>
          <w:b w:val="0"/>
          <w:szCs w:val="22"/>
          <w:vertAlign w:val="superscript"/>
        </w:rPr>
        <w:t>Α</w:t>
      </w:r>
      <w:r>
        <w:rPr>
          <w:rFonts w:ascii="Arial" w:hAnsi="Arial" w:cs="Arial"/>
          <w:b w:val="0"/>
          <w:szCs w:val="22"/>
        </w:rPr>
        <w:t>/15.9.11)</w:t>
      </w:r>
    </w:p>
    <w:p w:rsidR="00C071A3" w:rsidRDefault="00C071A3" w:rsidP="00C071A3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9) του Π.Δ. 118/07 άρθρο 15 παρ.6</w:t>
      </w:r>
    </w:p>
    <w:p w:rsidR="00C071A3" w:rsidRDefault="00C071A3" w:rsidP="00C071A3">
      <w:pPr>
        <w:pStyle w:val="a3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     Η αξία της προμήθειας  είναι προϋπολογισμού 40.000,00 ευρώ με το Φ.Π.Α</w:t>
      </w:r>
      <w:r w:rsidRPr="00FD089E">
        <w:rPr>
          <w:rFonts w:ascii="Arial" w:hAnsi="Arial" w:cs="Arial"/>
          <w:b w:val="0"/>
          <w:szCs w:val="22"/>
        </w:rPr>
        <w:t xml:space="preserve">, </w:t>
      </w:r>
      <w:r w:rsidR="00B0365E">
        <w:rPr>
          <w:rFonts w:ascii="Arial" w:hAnsi="Arial" w:cs="Arial"/>
          <w:b w:val="0"/>
          <w:szCs w:val="22"/>
        </w:rPr>
        <w:t xml:space="preserve">από ΣΑΤΑ   </w:t>
      </w:r>
      <w:r>
        <w:rPr>
          <w:rFonts w:ascii="Arial" w:hAnsi="Arial" w:cs="Arial"/>
          <w:b w:val="0"/>
          <w:szCs w:val="22"/>
        </w:rPr>
        <w:t xml:space="preserve"> και είναι ενταγμένη με κωδικό 30.6662.05 στο τεχνικό πρόγραμμα του Δήμου για το  οικονομικό </w:t>
      </w:r>
      <w:bookmarkStart w:id="0" w:name="_GoBack"/>
      <w:bookmarkEnd w:id="0"/>
      <w:r>
        <w:rPr>
          <w:rFonts w:ascii="Arial" w:hAnsi="Arial" w:cs="Arial"/>
          <w:b w:val="0"/>
          <w:szCs w:val="22"/>
        </w:rPr>
        <w:t>έτος 2015.</w:t>
      </w:r>
    </w:p>
    <w:p w:rsidR="00C071A3" w:rsidRPr="002E5CA1" w:rsidRDefault="00C071A3" w:rsidP="00C071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</w:rPr>
        <w:t xml:space="preserve">   </w:t>
      </w:r>
      <w:r w:rsidRPr="00D52A92">
        <w:rPr>
          <w:rFonts w:ascii="Arial" w:hAnsi="Arial" w:cs="Arial"/>
          <w:szCs w:val="22"/>
        </w:rPr>
        <w:t xml:space="preserve"> </w:t>
      </w:r>
      <w:r w:rsidRPr="00D52A92">
        <w:rPr>
          <w:rFonts w:ascii="Arial" w:hAnsi="Arial" w:cs="Arial"/>
          <w:sz w:val="22"/>
          <w:szCs w:val="22"/>
        </w:rPr>
        <w:t>Η σύναψη σύμβασης εκτέλεσης προμήθειας  δύναται να  πραγματοποιηθεί</w:t>
      </w:r>
      <w:r w:rsidRPr="00D52A92">
        <w:rPr>
          <w:rFonts w:ascii="Arial" w:hAnsi="Arial" w:cs="Arial"/>
          <w:b/>
          <w:sz w:val="22"/>
          <w:szCs w:val="22"/>
        </w:rPr>
        <w:t xml:space="preserve"> </w:t>
      </w:r>
      <w:r w:rsidRPr="00D52A92">
        <w:rPr>
          <w:rFonts w:ascii="Arial" w:hAnsi="Arial" w:cs="Arial"/>
          <w:sz w:val="22"/>
          <w:szCs w:val="22"/>
        </w:rPr>
        <w:t xml:space="preserve"> </w:t>
      </w:r>
      <w:r w:rsidRPr="00D52A92">
        <w:rPr>
          <w:rFonts w:ascii="Arial" w:hAnsi="Arial" w:cs="Arial"/>
          <w:b/>
          <w:sz w:val="22"/>
          <w:szCs w:val="22"/>
        </w:rPr>
        <w:t xml:space="preserve"> </w:t>
      </w:r>
      <w:r w:rsidRPr="00D52A92">
        <w:rPr>
          <w:rFonts w:ascii="Arial" w:hAnsi="Arial" w:cs="Arial"/>
          <w:sz w:val="22"/>
          <w:szCs w:val="22"/>
        </w:rPr>
        <w:t xml:space="preserve">με πρόχειρο διαγωνισμό και με κριτήριο κατακύρωσης τη </w:t>
      </w:r>
      <w:proofErr w:type="spellStart"/>
      <w:r w:rsidRPr="00D52A92">
        <w:rPr>
          <w:rFonts w:ascii="Arial" w:hAnsi="Arial" w:cs="Arial"/>
          <w:sz w:val="22"/>
          <w:szCs w:val="22"/>
        </w:rPr>
        <w:t>συμφερότερη</w:t>
      </w:r>
      <w:proofErr w:type="spellEnd"/>
      <w:r w:rsidRPr="00D52A92">
        <w:rPr>
          <w:rFonts w:ascii="Arial" w:hAnsi="Arial" w:cs="Arial"/>
          <w:sz w:val="22"/>
          <w:szCs w:val="22"/>
        </w:rPr>
        <w:t xml:space="preserve">  προσφορά σύμφωνα με την ισχύουσα νομοθεσία, άρθρο 2. Παρ.12, του  Ν.2286/1995 ΦΕΚ 19/Α,άρθρο 2 παρ.7, του άρθρου 3 παρ.10 και του άρθρου 23  παρ.4,5,6 της </w:t>
      </w:r>
      <w:proofErr w:type="spellStart"/>
      <w:r w:rsidRPr="00D52A92">
        <w:rPr>
          <w:rFonts w:ascii="Arial" w:hAnsi="Arial" w:cs="Arial"/>
          <w:sz w:val="22"/>
          <w:szCs w:val="22"/>
        </w:rPr>
        <w:t>υπ.αρ</w:t>
      </w:r>
      <w:proofErr w:type="spellEnd"/>
      <w:r w:rsidRPr="00D52A92">
        <w:rPr>
          <w:rFonts w:ascii="Arial" w:hAnsi="Arial" w:cs="Arial"/>
          <w:sz w:val="22"/>
          <w:szCs w:val="22"/>
        </w:rPr>
        <w:t xml:space="preserve">. 11389/1993 </w:t>
      </w:r>
      <w:proofErr w:type="spellStart"/>
      <w:r w:rsidRPr="00D52A92">
        <w:rPr>
          <w:rFonts w:ascii="Arial" w:hAnsi="Arial" w:cs="Arial"/>
          <w:sz w:val="22"/>
          <w:szCs w:val="22"/>
        </w:rPr>
        <w:t>Υπ.Απ</w:t>
      </w:r>
      <w:proofErr w:type="spellEnd"/>
      <w:r w:rsidRPr="00D52A92">
        <w:rPr>
          <w:rFonts w:ascii="Arial" w:hAnsi="Arial" w:cs="Arial"/>
          <w:sz w:val="22"/>
          <w:szCs w:val="22"/>
        </w:rPr>
        <w:t xml:space="preserve">. (ΦΕΚ 185/τ.Β), την Π 1/3305/03-11-2010 Απόφαση του Υπουργείου Οικονομίας, Ανταγωνιστικότητας και Ναυτιλίας και του   Π.Δ. 60/2007 </w:t>
      </w:r>
      <w:r w:rsidRPr="00D52A92">
        <w:rPr>
          <w:rFonts w:ascii="Arial" w:hAnsi="Arial" w:cs="Arial"/>
          <w:sz w:val="22"/>
          <w:szCs w:val="22"/>
        </w:rPr>
        <w:lastRenderedPageBreak/>
        <w:t>ΦΕΚ 64/Α.</w:t>
      </w:r>
      <w:r w:rsidRPr="002E5CA1">
        <w:rPr>
          <w:rFonts w:ascii="Arial" w:hAnsi="Arial" w:cs="Arial"/>
          <w:sz w:val="22"/>
          <w:szCs w:val="22"/>
        </w:rPr>
        <w:t>,</w:t>
      </w:r>
      <w:r w:rsidRPr="002E5CA1">
        <w:rPr>
          <w:rFonts w:ascii="Arial" w:hAnsi="Arial" w:cs="Arial"/>
          <w:szCs w:val="22"/>
        </w:rPr>
        <w:t xml:space="preserve">ενώ σε εφαρμογή του Π.Δ 334/1994, πρέπει ο προμηθευτής να προσκομίσει το Πιστοποιητικό ΕΚ για τον έλεγχο Παραγωγής στο Εργοστάσιο από αναγνωρισμένο οργανισμό πιστοποίησης, το πιστοποιητικό Συστήματος Διαχείρισης Ποιότητας σύμφωνα με ΕΝ </w:t>
      </w:r>
      <w:r w:rsidRPr="002E5CA1">
        <w:rPr>
          <w:rFonts w:ascii="Arial" w:hAnsi="Arial" w:cs="Arial"/>
          <w:szCs w:val="22"/>
          <w:lang w:val="en-US"/>
        </w:rPr>
        <w:t>ISO</w:t>
      </w:r>
      <w:r w:rsidRPr="002E5CA1">
        <w:rPr>
          <w:rFonts w:ascii="Arial" w:hAnsi="Arial" w:cs="Arial"/>
          <w:szCs w:val="22"/>
        </w:rPr>
        <w:t xml:space="preserve"> 9001 καθώς και τη δήλωση Συμμόρφωσης </w:t>
      </w:r>
      <w:r w:rsidRPr="002E5CA1">
        <w:rPr>
          <w:rFonts w:ascii="Arial" w:hAnsi="Arial" w:cs="Arial"/>
          <w:szCs w:val="22"/>
          <w:lang w:val="en-US"/>
        </w:rPr>
        <w:t>CE</w:t>
      </w:r>
      <w:r w:rsidRPr="002E5CA1">
        <w:rPr>
          <w:rFonts w:ascii="Arial" w:hAnsi="Arial" w:cs="Arial"/>
          <w:szCs w:val="22"/>
        </w:rPr>
        <w:t xml:space="preserve"> του προϊόντος.</w:t>
      </w:r>
    </w:p>
    <w:tbl>
      <w:tblPr>
        <w:tblW w:w="11803" w:type="pct"/>
        <w:tblLook w:val="0000"/>
      </w:tblPr>
      <w:tblGrid>
        <w:gridCol w:w="9532"/>
        <w:gridCol w:w="7306"/>
        <w:gridCol w:w="3279"/>
      </w:tblGrid>
      <w:tr w:rsidR="00C071A3" w:rsidRPr="000114A3" w:rsidTr="00C363B2">
        <w:trPr>
          <w:trHeight w:val="243"/>
        </w:trPr>
        <w:tc>
          <w:tcPr>
            <w:tcW w:w="2369" w:type="pct"/>
            <w:shd w:val="clear" w:color="auto" w:fill="auto"/>
          </w:tcPr>
          <w:p w:rsidR="00C071A3" w:rsidRPr="00C071A3" w:rsidRDefault="00C071A3" w:rsidP="00C363B2">
            <w:pPr>
              <w:rPr>
                <w:rFonts w:ascii="Arial" w:hAnsi="Arial" w:cs="Arial"/>
                <w:sz w:val="22"/>
                <w:szCs w:val="22"/>
              </w:rPr>
            </w:pPr>
          </w:p>
          <w:p w:rsidR="00C071A3" w:rsidRDefault="00C071A3" w:rsidP="00C36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ΑΡΓΟΣΤΟΛΙ </w:t>
            </w:r>
            <w:r w:rsidRPr="00CA4577">
              <w:rPr>
                <w:rFonts w:ascii="Arial" w:hAnsi="Arial" w:cs="Arial"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Pr="00CA457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</w:p>
          <w:p w:rsidR="00C071A3" w:rsidRPr="000114A3" w:rsidRDefault="00C071A3" w:rsidP="00C36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 ΣΥΝΤΑΞΑΣ              Η ΠΡΟΙΣΤΑΜΕΝΗ ΤΜΗΜΑΤΟΣ         Η ΠΡΟΙΣΤΑΜΕΝΗ Δ/ΝΣΗΣ   </w:t>
            </w:r>
          </w:p>
        </w:tc>
        <w:tc>
          <w:tcPr>
            <w:tcW w:w="1816" w:type="pct"/>
            <w:shd w:val="clear" w:color="auto" w:fill="auto"/>
          </w:tcPr>
          <w:p w:rsidR="00C071A3" w:rsidRPr="000114A3" w:rsidRDefault="00C071A3" w:rsidP="00C363B2">
            <w:pPr>
              <w:ind w:hanging="314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pct"/>
          </w:tcPr>
          <w:p w:rsidR="00C071A3" w:rsidRPr="000114A3" w:rsidRDefault="00C071A3" w:rsidP="00C36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ΠΡΟΙΣΤΑΜΕΝΗ ΤΜΗΜΑΤΟΣ</w:t>
            </w:r>
          </w:p>
          <w:p w:rsidR="00C071A3" w:rsidRPr="000114A3" w:rsidRDefault="00C071A3" w:rsidP="00C36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1A3" w:rsidRPr="000114A3" w:rsidTr="00C363B2">
        <w:tc>
          <w:tcPr>
            <w:tcW w:w="2369" w:type="pct"/>
            <w:shd w:val="clear" w:color="auto" w:fill="auto"/>
          </w:tcPr>
          <w:p w:rsidR="00C071A3" w:rsidRPr="00C071A3" w:rsidRDefault="00C071A3" w:rsidP="00C363B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</w:p>
          <w:p w:rsidR="00C071A3" w:rsidRDefault="00C071A3" w:rsidP="00C363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071A3" w:rsidRPr="003118F5" w:rsidRDefault="00C071A3" w:rsidP="00C363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Χ  ΡΟΥΧΩΤΑΣ                    Α.ΑΜΑΡΑΝΤΙΔΟΥ                         ΠΑΠΑΔΗΜΑ- ΧΑΪΤΙΔΟΥ Ε                                                                                                         </w:t>
            </w:r>
          </w:p>
          <w:p w:rsidR="00C071A3" w:rsidRPr="0003017B" w:rsidRDefault="00C071A3" w:rsidP="00C363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C071A3" w:rsidRPr="000F4B6C" w:rsidRDefault="00C071A3" w:rsidP="00C363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816" w:type="pct"/>
            <w:shd w:val="clear" w:color="auto" w:fill="auto"/>
          </w:tcPr>
          <w:p w:rsidR="00C071A3" w:rsidRPr="000114A3" w:rsidRDefault="00C071A3" w:rsidP="00C36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pct"/>
          </w:tcPr>
          <w:p w:rsidR="00C071A3" w:rsidRPr="000114A3" w:rsidRDefault="00C071A3" w:rsidP="00C363B2">
            <w:pPr>
              <w:rPr>
                <w:rFonts w:ascii="Arial" w:hAnsi="Arial" w:cs="Arial"/>
                <w:sz w:val="22"/>
                <w:szCs w:val="22"/>
              </w:rPr>
            </w:pPr>
          </w:p>
          <w:p w:rsidR="00C071A3" w:rsidRDefault="00C071A3" w:rsidP="00C36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71A3" w:rsidRPr="000114A3" w:rsidRDefault="00C071A3" w:rsidP="00C36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Α.ΑΜΑΡΑΝΤΙΔΟΥ</w:t>
            </w:r>
          </w:p>
          <w:p w:rsidR="00C071A3" w:rsidRPr="000114A3" w:rsidRDefault="00C071A3" w:rsidP="00C36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71A3" w:rsidRPr="000114A3" w:rsidRDefault="00C071A3" w:rsidP="00C36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6412" w:rsidRDefault="00336412"/>
    <w:sectPr w:rsidR="00336412" w:rsidSect="00E13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71A3"/>
    <w:rsid w:val="00012D5C"/>
    <w:rsid w:val="00336412"/>
    <w:rsid w:val="00B0365E"/>
    <w:rsid w:val="00C071A3"/>
    <w:rsid w:val="00E1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071A3"/>
    <w:rPr>
      <w:b/>
      <w:sz w:val="22"/>
    </w:rPr>
  </w:style>
  <w:style w:type="character" w:customStyle="1" w:styleId="Char">
    <w:name w:val="Σώμα κειμένου Char"/>
    <w:basedOn w:val="a0"/>
    <w:link w:val="a3"/>
    <w:rsid w:val="00C071A3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Default">
    <w:name w:val="Default"/>
    <w:rsid w:val="00C071A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071A3"/>
    <w:rPr>
      <w:b/>
      <w:sz w:val="22"/>
    </w:rPr>
  </w:style>
  <w:style w:type="character" w:customStyle="1" w:styleId="Char">
    <w:name w:val="Σώμα κειμένου Char"/>
    <w:basedOn w:val="a0"/>
    <w:link w:val="a3"/>
    <w:rsid w:val="00C071A3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Default">
    <w:name w:val="Default"/>
    <w:rsid w:val="00C071A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alfatech06</dc:creator>
  <cp:lastModifiedBy>pagwnhs</cp:lastModifiedBy>
  <cp:revision>2</cp:revision>
  <dcterms:created xsi:type="dcterms:W3CDTF">2015-12-21T09:23:00Z</dcterms:created>
  <dcterms:modified xsi:type="dcterms:W3CDTF">2015-12-21T09:23:00Z</dcterms:modified>
</cp:coreProperties>
</file>