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D8" w:rsidRPr="00F809D0" w:rsidRDefault="00797AD8">
      <w:pPr>
        <w:rPr>
          <w:rFonts w:ascii="Verdana" w:hAnsi="Verdana"/>
        </w:rPr>
      </w:pPr>
      <w:bookmarkStart w:id="0" w:name="_GoBack"/>
      <w:bookmarkEnd w:id="0"/>
    </w:p>
    <w:tbl>
      <w:tblPr>
        <w:tblW w:w="9401" w:type="dxa"/>
        <w:jc w:val="center"/>
        <w:tblLook w:val="0000"/>
      </w:tblPr>
      <w:tblGrid>
        <w:gridCol w:w="4282"/>
        <w:gridCol w:w="714"/>
        <w:gridCol w:w="4405"/>
      </w:tblGrid>
      <w:tr w:rsidR="008F74BC" w:rsidRPr="00F809D0" w:rsidTr="001A4798">
        <w:trPr>
          <w:trHeight w:hRule="exact" w:val="851"/>
          <w:jc w:val="center"/>
        </w:trPr>
        <w:tc>
          <w:tcPr>
            <w:tcW w:w="4282" w:type="dxa"/>
            <w:vAlign w:val="center"/>
          </w:tcPr>
          <w:p w:rsidR="008F74BC" w:rsidRPr="00F809D0" w:rsidRDefault="003C688D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6.65pt;margin-top:-29.3pt;width:45.2pt;height:44.7pt;z-index:251659264;visibility:visible;mso-wrap-edited:f">
                  <v:imagedata r:id="rId5" o:title=""/>
                  <w10:wrap type="topAndBottom"/>
                </v:shape>
                <o:OLEObject Type="Embed" ProgID="Word.Picture.8" ShapeID="_x0000_s1026" DrawAspect="Content" ObjectID="_1512200397" r:id="rId6"/>
              </w:pict>
            </w:r>
          </w:p>
        </w:tc>
        <w:tc>
          <w:tcPr>
            <w:tcW w:w="714" w:type="dxa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</w:rPr>
            </w:pPr>
          </w:p>
        </w:tc>
        <w:tc>
          <w:tcPr>
            <w:tcW w:w="4405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>ΜΕΛΕΤΗ</w:t>
            </w:r>
            <w:r w:rsidRPr="00F809D0">
              <w:rPr>
                <w:rFonts w:ascii="Verdana" w:eastAsia="Times New Roman" w:hAnsi="Verdana" w:cs="Times New Roman"/>
                <w:lang w:val="en-US"/>
              </w:rPr>
              <w:t>:</w:t>
            </w:r>
          </w:p>
        </w:tc>
      </w:tr>
      <w:tr w:rsidR="008F74BC" w:rsidRPr="00F809D0" w:rsidTr="001A4798">
        <w:trPr>
          <w:trHeight w:val="955"/>
          <w:jc w:val="center"/>
        </w:trPr>
        <w:tc>
          <w:tcPr>
            <w:tcW w:w="4282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>ΕΛΛΗΝΙΚΗ ΔΗΜΟΚΡΑΤΙΑ</w:t>
            </w:r>
          </w:p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>ΠΕΡΙΦΕΡΕΙΑ ΙΟΝΙΩΝ ΝΗΣΩΝ</w:t>
            </w:r>
          </w:p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>ΔΗΜΟΣ ΚΕΦΑΛΛΟΝΙΑΣ</w:t>
            </w:r>
          </w:p>
        </w:tc>
        <w:tc>
          <w:tcPr>
            <w:tcW w:w="71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4405" w:type="dxa"/>
            <w:vAlign w:val="center"/>
          </w:tcPr>
          <w:p w:rsidR="008F74BC" w:rsidRPr="00F809D0" w:rsidRDefault="009F36FF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color w:val="0000FF"/>
                <w:lang w:eastAsia="el-GR"/>
              </w:rPr>
            </w:pPr>
            <w:r w:rsidRPr="00F809D0">
              <w:rPr>
                <w:rFonts w:ascii="Verdana" w:eastAsia="Times New Roman" w:hAnsi="Verdana" w:cs="Times New Roman"/>
                <w:b/>
                <w:color w:val="0000FF"/>
                <w:lang w:eastAsia="el-GR"/>
              </w:rPr>
              <w:t>«ΠΡΟΜΗΘΕΙΑ ΕΤΟΙΜΟΥ ΣΚΥΡΟΔΕΜΑΤΟΣ ΣΥΝΤΗΡΗΣΗΣ ΟΔΙΚΟΥ ΔΙΚΤΥΟΥ Δ.Ε ΑΡΓΟΣΤΟΛΙΟΥ</w:t>
            </w:r>
            <w:r w:rsidR="008F74BC" w:rsidRPr="00F809D0">
              <w:rPr>
                <w:rFonts w:ascii="Verdana" w:eastAsia="Times New Roman" w:hAnsi="Verdana" w:cs="Times New Roman"/>
                <w:b/>
                <w:color w:val="0000FF"/>
                <w:lang w:eastAsia="el-GR"/>
              </w:rPr>
              <w:t>»</w:t>
            </w:r>
          </w:p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F74BC" w:rsidRPr="00F809D0" w:rsidTr="001A4798">
        <w:trPr>
          <w:trHeight w:val="503"/>
          <w:jc w:val="center"/>
        </w:trPr>
        <w:tc>
          <w:tcPr>
            <w:tcW w:w="4282" w:type="dxa"/>
          </w:tcPr>
          <w:p w:rsidR="008F74BC" w:rsidRPr="00F809D0" w:rsidRDefault="00C85024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120DA3">
              <w:rPr>
                <w:rFonts w:ascii="Verdana" w:eastAsia="Times New Roman" w:hAnsi="Verdana" w:cs="Times New Roman"/>
              </w:rPr>
              <w:t xml:space="preserve">    </w:t>
            </w:r>
            <w:r w:rsidR="008F74BC" w:rsidRPr="00F809D0">
              <w:rPr>
                <w:rFonts w:ascii="Verdana" w:eastAsia="Times New Roman" w:hAnsi="Verdana" w:cs="Times New Roman"/>
              </w:rPr>
              <w:t>Δ/ΝΣΗ ΤΕΧΝΙΚΩΝ ΥΠΗΡΕΣΙΩΝ</w:t>
            </w:r>
          </w:p>
        </w:tc>
        <w:tc>
          <w:tcPr>
            <w:tcW w:w="714" w:type="dxa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</w:rPr>
            </w:pPr>
          </w:p>
        </w:tc>
        <w:tc>
          <w:tcPr>
            <w:tcW w:w="4405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</w:rPr>
            </w:pPr>
          </w:p>
        </w:tc>
      </w:tr>
    </w:tbl>
    <w:p w:rsidR="008F74BC" w:rsidRPr="00F809D0" w:rsidRDefault="008F74BC" w:rsidP="008F74BC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720" w:after="240" w:line="240" w:lineRule="auto"/>
        <w:ind w:left="567" w:hanging="567"/>
        <w:jc w:val="center"/>
        <w:outlineLvl w:val="0"/>
        <w:rPr>
          <w:rFonts w:ascii="Verdana" w:eastAsia="Times New Roman" w:hAnsi="Verdana" w:cs="Times New Roman"/>
          <w:b/>
          <w:bCs/>
          <w:color w:val="365F91"/>
        </w:rPr>
      </w:pPr>
      <w:bookmarkStart w:id="1" w:name="_Toc408474568"/>
      <w:bookmarkStart w:id="2" w:name="_Toc411594703"/>
      <w:r w:rsidRPr="00F809D0">
        <w:rPr>
          <w:rFonts w:ascii="Verdana" w:eastAsia="Times New Roman" w:hAnsi="Verdana" w:cs="Times New Roman"/>
          <w:b/>
          <w:bCs/>
          <w:color w:val="365F91"/>
        </w:rPr>
        <w:t>ΓΕΝΙΚΗ ΣΥΓΓΡΑΦΗ ΥΠΟΧΡΕΩΣΕΩΝ</w:t>
      </w:r>
      <w:bookmarkEnd w:id="1"/>
      <w:bookmarkEnd w:id="2"/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ΑΡΘΡΟ 1</w:t>
      </w:r>
      <w:r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Αντικείμενο της προμήθειας</w:t>
      </w:r>
    </w:p>
    <w:p w:rsidR="008F74BC" w:rsidRPr="00F809D0" w:rsidRDefault="009F36FF" w:rsidP="009F36FF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Η γενική συγγραφή υποχρεώσεων αφορά τους όρους σύμφωνα με τους οποίους θα γίνει η προμήθεια έτοιμου σκυροδέματος και δομικού πλέγματος για την βελτίωση και επισκευή του οδικού δικτύου της Δ.Ε Αργοστολίου.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Λοιπές λεπτομέρειες, περιγράφονται στις τεχνικές προδιαγραφές της παρούσας μελέτης. </w:t>
      </w:r>
    </w:p>
    <w:p w:rsidR="008F74BC" w:rsidRPr="00F809D0" w:rsidRDefault="00915A8B" w:rsidP="00915A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EC6B6A">
        <w:rPr>
          <w:rFonts w:ascii="Verdana" w:eastAsia="Times New Roman" w:hAnsi="Verdana" w:cs="Times New Roman"/>
        </w:rPr>
        <w:t xml:space="preserve">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2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C85024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Ισχύουσες διατάξεις</w:t>
      </w:r>
    </w:p>
    <w:p w:rsidR="00F809D0" w:rsidRPr="00F809D0" w:rsidRDefault="00F809D0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  <w:lang w:val="en-US"/>
        </w:rPr>
        <w:t>H</w:t>
      </w:r>
      <w:r w:rsidRPr="00F809D0">
        <w:rPr>
          <w:rFonts w:ascii="Verdana" w:eastAsia="Times New Roman" w:hAnsi="Verdana" w:cs="Times New Roman"/>
        </w:rPr>
        <w:t xml:space="preserve"> διενέργεια της προμήθειας διέπεται από τις ακόλουθες διατάξεις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b/>
          <w:snapToGrid w:val="0"/>
          <w:lang w:eastAsia="zh-CN"/>
        </w:rPr>
      </w:pP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>1. Του άρθρου 2 παρ.12 του Ν. 2286/95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 xml:space="preserve">2.ΤηνΠ1/3305/03.11.2010 </w:t>
      </w:r>
      <w:r w:rsidRPr="00120DA3">
        <w:rPr>
          <w:rFonts w:ascii="Verdana" w:eastAsia="SimSun" w:hAnsi="Verdana" w:cs="Times New Roman"/>
          <w:snapToGrid w:val="0"/>
          <w:lang w:val="en-US" w:eastAsia="zh-CN"/>
        </w:rPr>
        <w:t>A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πόφαση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 του Υπουργείου Οικονομίας, Ανταγωνιστικότητας και Ναυτιλίας (Φ.Ε.Κ. 1789/12-11-2010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τ.Β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>)</w:t>
      </w:r>
    </w:p>
    <w:p w:rsidR="00120DA3" w:rsidRPr="00120DA3" w:rsidRDefault="00120DA3" w:rsidP="00120DA3">
      <w:pPr>
        <w:snapToGrid w:val="0"/>
        <w:spacing w:after="0" w:line="240" w:lineRule="auto"/>
        <w:jc w:val="both"/>
        <w:rPr>
          <w:rFonts w:ascii="Verdana" w:eastAsia="SimSun" w:hAnsi="Verdana" w:cs="Verdana"/>
          <w:snapToGrid w:val="0"/>
          <w:lang w:eastAsia="zh-CN"/>
        </w:rPr>
      </w:pPr>
      <w:r w:rsidRPr="00120DA3">
        <w:rPr>
          <w:rFonts w:ascii="Verdana" w:eastAsia="SimSun" w:hAnsi="Verdana" w:cs="Verdana"/>
          <w:snapToGrid w:val="0"/>
          <w:lang w:eastAsia="zh-CN"/>
        </w:rPr>
        <w:t>3.Του Ν.4111/2013 (Φ.Ε.Κ.18 τεύχος Α΄)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 xml:space="preserve">4. Την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υπ΄αριθ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. 267/2015 απόφαση Δημοτικού Συμβουλίου 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Κεφαλλονιάς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 με την οποία εγκρίθηκε η μελέτη, και ο καθορισμός τρόπου εκτέλεσης της σχετικής προμήθειας.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 xml:space="preserve">5. Η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υπ.αρ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.---------  Απόφαση της Οικονομικής Επιτροπής Δήμου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Κεφαλλονιάς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 με τις οποίες  εγκρίθηκε η αποδέσμευση πίστωσης ύψους </w:t>
      </w:r>
      <w:r w:rsidRPr="00120DA3">
        <w:rPr>
          <w:rFonts w:ascii="Verdana" w:eastAsia="SimSun" w:hAnsi="Verdana" w:cs="Times New Roman"/>
          <w:b/>
          <w:snapToGrid w:val="0"/>
          <w:lang w:eastAsia="zh-CN"/>
        </w:rPr>
        <w:t>30.000,00</w:t>
      </w:r>
      <w:r w:rsidRPr="00120DA3">
        <w:rPr>
          <w:rFonts w:ascii="Verdana" w:eastAsia="SimSun" w:hAnsi="Verdana" w:cs="Times New Roman"/>
          <w:snapToGrid w:val="0"/>
          <w:lang w:eastAsia="zh-CN"/>
        </w:rPr>
        <w:t xml:space="preserve">€ εις βάρος του Κ.Α </w:t>
      </w:r>
      <w:r w:rsidRPr="00120DA3">
        <w:rPr>
          <w:rFonts w:ascii="Verdana" w:eastAsia="SimSun" w:hAnsi="Verdana" w:cs="Times New Roman"/>
          <w:b/>
          <w:snapToGrid w:val="0"/>
          <w:lang w:eastAsia="zh-CN"/>
        </w:rPr>
        <w:t>30.6662.04</w:t>
      </w:r>
      <w:r w:rsidRPr="00120DA3">
        <w:rPr>
          <w:rFonts w:ascii="Verdana" w:eastAsia="SimSun" w:hAnsi="Verdana" w:cs="Times New Roman"/>
          <w:snapToGrid w:val="0"/>
          <w:lang w:eastAsia="zh-CN"/>
        </w:rPr>
        <w:t xml:space="preserve"> για την εκτέλεση της ανωτέρω προμήθειας.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 xml:space="preserve">6.Την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υπ΄αριθ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>----------- απόφαση της Οικονομικής Επιτροπής  περί συγκρότησης επιτροπής ΕΚΠΟΤΑ.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>7.Του Δ.Κ.Κ (Ν.3463/06)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8.Του Άρθρου 2, παρ. 12, του Ν.2286/1995 ΦΕΚ 19/Α «Προμήθειες του δημόσιου τομέα ρυθμίσεις συναφών θεμάτων»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 xml:space="preserve">9.Του Άρθρου 2 παρ. 7, του Άρθρου 3 παρ. 10 και του Άρθρου 23 παρ. 4, </w:t>
      </w:r>
      <w:r w:rsidRPr="00120DA3">
        <w:rPr>
          <w:rFonts w:ascii="Verdana" w:eastAsia="Calibri" w:hAnsi="Verdana" w:cs="Times New Roman"/>
          <w:color w:val="000000"/>
        </w:rPr>
        <w:lastRenderedPageBreak/>
        <w:t xml:space="preserve">5 και 6 της </w:t>
      </w:r>
      <w:proofErr w:type="spellStart"/>
      <w:r w:rsidRPr="00120DA3">
        <w:rPr>
          <w:rFonts w:ascii="Verdana" w:eastAsia="Calibri" w:hAnsi="Verdana" w:cs="Times New Roman"/>
          <w:color w:val="000000"/>
        </w:rPr>
        <w:t>υπ’αριθμ</w:t>
      </w:r>
      <w:proofErr w:type="spellEnd"/>
      <w:r w:rsidRPr="00120DA3">
        <w:rPr>
          <w:rFonts w:ascii="Verdana" w:eastAsia="Calibri" w:hAnsi="Verdana" w:cs="Times New Roman"/>
          <w:color w:val="000000"/>
        </w:rPr>
        <w:t>. 11389/1993 Υπ. Απόφαση (ΦΕΚ 185/τ.Β’) «Περί ενιαίου κανονισμού προμηθειών Ο.Τ.Α. (Ε.Κ.Π.Ο.Τ.Α.)» και τις σχετικές ερμηνευτικές εγκυκλίους, όπου αυτή δεν έρχεται σε αντίθεση με το Ν. 2286/95 και το Ν. 3463/2006 (Κύρωση του Κώδικα Δήμων και Κοινοτήτων)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10.Του Π.Δ. 60/2007 ΦΕΚ 64/Α «Προσαρμογή της Ελληνικής Νομοθεσίας στις διατάξεις της Οδηγίας 2004/18/ΕΚ «περί συντονισμού των διαδικασιών σύναψης δημοσίων συμβάσεων έργων, προμηθειών και υπηρεσιών»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11.Του Π.Δ. 118/2007 ΦΕΚ 150/Α «Κανονισμός Προμηθειών Δημοσίου (Κ.Π.Δ)»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12.Του Άρθρου 10 του Ν.2880/2001 ΦΕΚ 9/Α/2001 «Πρόγραμμα “ΠΟΛΙΤΕΙΑ” για τη μεταρρύθμιση και τον εκσυγχρονισμό της Δημόσιας Διοίκησης και άλλες διατάξεις»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13.Του Ν.2647/1998 ΦΕΚ 237/Α/1998 «Μεταβίβαση αρμοδιοτήτων στις Περιφέρειες και την Αυτοδιοίκηση και άλλες διατάξεις»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14.Του  ν. 3852/2010 (ΦΕΚ 87/Α) «Πρόγραμμα Καλλικράτης» «Σύσταση Αποκεντρωμένης Διοίκησης»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15.Τις σχετικές σε ισχύ εγκυκλίους που έχουν εκδοθεί κατά καιρούς και αφορούν προμήθειες ΟΤΑ, όταν αυτές δεν έρχονται σε αντίθεση με το ν.2286/95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16.Του Ν.3861/10 (ΦΕΚ 112</w:t>
      </w:r>
      <w:r w:rsidRPr="00120DA3">
        <w:rPr>
          <w:rFonts w:ascii="Verdana" w:eastAsia="Calibri" w:hAnsi="Verdana" w:cs="Times New Roman"/>
          <w:color w:val="000000"/>
          <w:vertAlign w:val="superscript"/>
        </w:rPr>
        <w:t>Α</w:t>
      </w:r>
      <w:r w:rsidRPr="00120DA3">
        <w:rPr>
          <w:rFonts w:ascii="Verdana" w:eastAsia="Calibri" w:hAnsi="Verdana" w:cs="Times New Roman"/>
          <w:color w:val="000000"/>
        </w:rPr>
        <w:t xml:space="preserve">/13-7-2010) Ενίσχυση της διαφάνειας με την υποχρεωτική ανάρτηση </w:t>
      </w:r>
      <w:proofErr w:type="spellStart"/>
      <w:r w:rsidRPr="00120DA3">
        <w:rPr>
          <w:rFonts w:ascii="Verdana" w:eastAsia="Calibri" w:hAnsi="Verdana" w:cs="Times New Roman"/>
          <w:color w:val="000000"/>
        </w:rPr>
        <w:t>νόμων….στο</w:t>
      </w:r>
      <w:proofErr w:type="spellEnd"/>
      <w:r w:rsidRPr="00120DA3">
        <w:rPr>
          <w:rFonts w:ascii="Verdana" w:eastAsia="Calibri" w:hAnsi="Verdana" w:cs="Times New Roman"/>
          <w:color w:val="000000"/>
        </w:rPr>
        <w:t xml:space="preserve"> </w:t>
      </w:r>
      <w:proofErr w:type="spellStart"/>
      <w:r w:rsidRPr="00120DA3">
        <w:rPr>
          <w:rFonts w:ascii="Verdana" w:eastAsia="Calibri" w:hAnsi="Verdana" w:cs="Times New Roman"/>
          <w:color w:val="000000"/>
        </w:rPr>
        <w:t>διαδίκτυο&lt;&lt;Πρόγραμμα</w:t>
      </w:r>
      <w:proofErr w:type="spellEnd"/>
      <w:r w:rsidRPr="00120DA3">
        <w:rPr>
          <w:rFonts w:ascii="Verdana" w:eastAsia="Calibri" w:hAnsi="Verdana" w:cs="Times New Roman"/>
          <w:color w:val="000000"/>
        </w:rPr>
        <w:t xml:space="preserve"> </w:t>
      </w:r>
      <w:proofErr w:type="spellStart"/>
      <w:r w:rsidRPr="00120DA3">
        <w:rPr>
          <w:rFonts w:ascii="Verdana" w:eastAsia="Calibri" w:hAnsi="Verdana" w:cs="Times New Roman"/>
          <w:color w:val="000000"/>
        </w:rPr>
        <w:t>Διάυγεια</w:t>
      </w:r>
      <w:proofErr w:type="spellEnd"/>
      <w:r w:rsidRPr="00120DA3">
        <w:rPr>
          <w:rFonts w:ascii="Verdana" w:eastAsia="Calibri" w:hAnsi="Verdana" w:cs="Times New Roman"/>
          <w:color w:val="000000"/>
        </w:rPr>
        <w:t>&gt;&gt; και άλλες διατάξεις.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17. Το Ν.4281/2014 (ΦΕΚ 160</w:t>
      </w:r>
      <w:r w:rsidRPr="00120DA3">
        <w:rPr>
          <w:rFonts w:ascii="Verdana" w:eastAsia="Calibri" w:hAnsi="Verdana" w:cs="Times New Roman"/>
          <w:color w:val="000000"/>
          <w:vertAlign w:val="superscript"/>
        </w:rPr>
        <w:t>Α</w:t>
      </w:r>
      <w:r w:rsidRPr="00120DA3">
        <w:rPr>
          <w:rFonts w:ascii="Verdana" w:eastAsia="Calibri" w:hAnsi="Verdana" w:cs="Times New Roman"/>
          <w:color w:val="000000"/>
        </w:rPr>
        <w:t>/14) ¨Μέτρα στήριξης και ανάπτυξης της ελληνικής οικονομίας ,οργανωτικά θέματα Υπουργείου Οικονομικών και άλλες διατάξεις¨</w:t>
      </w:r>
    </w:p>
    <w:p w:rsidR="00915A8B" w:rsidRPr="00915A8B" w:rsidRDefault="00120DA3" w:rsidP="00915A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18. Της παραγράφου 1 του άρθρου 37 του ν.4320/2015 για την οποία ορίζεται ότι η ισχύς των διατάξεων του Μέρους Β ΤΟΥ ΝΌΜΟΥ 4281/2014, αρχίζει από την 31</w:t>
      </w:r>
      <w:r w:rsidRPr="00120DA3">
        <w:rPr>
          <w:rFonts w:ascii="Verdana" w:eastAsia="Calibri" w:hAnsi="Verdana" w:cs="Times New Roman"/>
          <w:color w:val="000000"/>
          <w:vertAlign w:val="superscript"/>
        </w:rPr>
        <w:t>η</w:t>
      </w:r>
      <w:r w:rsidRPr="00120DA3">
        <w:rPr>
          <w:rFonts w:ascii="Verdana" w:eastAsia="Calibri" w:hAnsi="Verdana" w:cs="Times New Roman"/>
          <w:color w:val="000000"/>
        </w:rPr>
        <w:t xml:space="preserve"> Δεκεμβρίου 2015, εκτός αν ορίζεται αλλιώς στις επιμέρους διατάξεις του.</w:t>
      </w:r>
    </w:p>
    <w:p w:rsidR="00915A8B" w:rsidRPr="00915A8B" w:rsidRDefault="00915A8B" w:rsidP="00915A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915A8B">
        <w:rPr>
          <w:rFonts w:ascii="Verdana" w:eastAsia="Calibri" w:hAnsi="Verdana" w:cs="Times New Roman"/>
          <w:color w:val="000000"/>
        </w:rPr>
        <w:lastRenderedPageBreak/>
        <w:t xml:space="preserve">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3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915A8B" w:rsidRDefault="00915A8B" w:rsidP="00915A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915A8B">
        <w:rPr>
          <w:rFonts w:ascii="Verdana" w:eastAsia="Calibri" w:hAnsi="Verdana" w:cs="Times New Roman"/>
          <w:color w:val="000000"/>
        </w:rPr>
        <w:t xml:space="preserve">                      </w:t>
      </w:r>
      <w:r w:rsidR="008F74BC" w:rsidRPr="00F809D0">
        <w:rPr>
          <w:rFonts w:ascii="Verdana" w:eastAsia="Times New Roman" w:hAnsi="Verdana" w:cs="Times New Roman"/>
          <w:b/>
        </w:rPr>
        <w:t xml:space="preserve">Τρόπος εκτέλεσης της προμήθειας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Η εκτέλεση της προμήθειας αυτής θα πραγματοποιηθεί με Πρόχειρο Διαγωνισμό, με κριτήριο κατακύρωσης την </w:t>
      </w:r>
      <w:proofErr w:type="spellStart"/>
      <w:r w:rsidRPr="00F809D0">
        <w:rPr>
          <w:rFonts w:ascii="Verdana" w:eastAsia="Times New Roman" w:hAnsi="Verdana" w:cs="Times New Roman"/>
        </w:rPr>
        <w:t>συμφερότερη</w:t>
      </w:r>
      <w:proofErr w:type="spellEnd"/>
      <w:r w:rsidRPr="00F809D0">
        <w:rPr>
          <w:rFonts w:ascii="Verdana" w:eastAsia="Times New Roman" w:hAnsi="Verdana" w:cs="Times New Roman"/>
        </w:rPr>
        <w:t xml:space="preserve"> προσφορά, σύμφωνα με τις διατάξεις του Ε.Κ.Π.Ο.Τ.Α. και με τους όρους που καθορίζει το αρμόδιο όργανο του Δήμου.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F809D0" w:rsidRDefault="00915A8B" w:rsidP="00915A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EC6B6A">
        <w:rPr>
          <w:rFonts w:ascii="Verdana" w:eastAsia="Times New Roman" w:hAnsi="Verdana" w:cs="Times New Roman"/>
          <w:b/>
        </w:rPr>
        <w:t xml:space="preserve">   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4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Σειρά ισχύος συμβατικών τευχών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Verdana" w:eastAsia="Times New Roman" w:hAnsi="Verdana" w:cs="Times New Roman"/>
          <w:b/>
        </w:rPr>
      </w:pPr>
    </w:p>
    <w:p w:rsidR="008F74BC" w:rsidRPr="00F809D0" w:rsidRDefault="008F74BC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Η Διακήρυξη Δημοπρασίας</w:t>
      </w:r>
    </w:p>
    <w:p w:rsidR="008F74BC" w:rsidRPr="00F809D0" w:rsidRDefault="008F74BC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Οι Τεχνικές Προδιαγραφές </w:t>
      </w:r>
    </w:p>
    <w:p w:rsidR="008F74BC" w:rsidRPr="00F809D0" w:rsidRDefault="008F74BC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Η Ειδική Συγγραφή Υποχρεώσεων</w:t>
      </w:r>
    </w:p>
    <w:p w:rsidR="008F74BC" w:rsidRPr="00F809D0" w:rsidRDefault="008F74BC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Η Γενική Συγγραφή Υποχρεώσεων</w:t>
      </w:r>
    </w:p>
    <w:p w:rsidR="008F74BC" w:rsidRPr="00F809D0" w:rsidRDefault="00C85024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Η Μελέτη της Προμήθειας</w:t>
      </w:r>
    </w:p>
    <w:p w:rsidR="008F74BC" w:rsidRDefault="001C2DC4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Προϋπολογισμός Προσφοράς</w:t>
      </w:r>
    </w:p>
    <w:p w:rsidR="001C2DC4" w:rsidRPr="00F809D0" w:rsidRDefault="001C2DC4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Τιμολόγιο Προσφοράς</w:t>
      </w:r>
    </w:p>
    <w:p w:rsidR="008F74BC" w:rsidRPr="00F809D0" w:rsidRDefault="008F74BC" w:rsidP="001C2DC4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Verdana" w:eastAsia="Times New Roman" w:hAnsi="Verdana" w:cs="Times New Roman"/>
        </w:rPr>
      </w:pPr>
    </w:p>
    <w:p w:rsidR="008F74BC" w:rsidRPr="00F809D0" w:rsidRDefault="001C2DC4" w:rsidP="001C2DC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 xml:space="preserve">  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5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Αξιολόγηση προσφορών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Η αξιολόγηση των προσφορών (συμφωνία ή όχι της τεχνικής περιγραφής της προσφοράς με τις τεχνικές προδιαγραφές της μελέτης) και η εισήγηση για την ανάθεση της προμήθειας θα γίνει από τριμελή επιτροπή του άρθρου </w:t>
      </w:r>
      <w:r w:rsidR="004B2DAD" w:rsidRPr="00F809D0">
        <w:rPr>
          <w:rFonts w:ascii="Verdana" w:eastAsia="Times New Roman" w:hAnsi="Verdana" w:cs="Times New Roman"/>
        </w:rPr>
        <w:t xml:space="preserve">46 του Ε.Κ.Π.Ο.Τ.Α </w:t>
      </w:r>
    </w:p>
    <w:p w:rsidR="008F74BC" w:rsidRPr="00F809D0" w:rsidRDefault="00915A8B" w:rsidP="00915A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EC6B6A">
        <w:rPr>
          <w:rFonts w:ascii="Verdana" w:eastAsia="Times New Roman" w:hAnsi="Verdana" w:cs="Times New Roman"/>
        </w:rPr>
        <w:t xml:space="preserve"> 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6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 xml:space="preserve">Ανακοίνωση αποτελέσματος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Ο ανάδοχος της προμήθειας αυτής, μετά την κατά νόμο έγκριση του αποτελέσματος και μετά την ανακοίνωση του αποτελέσματος, σύμφωνα με τις διατάξεις του ΕΚΠΟΤΑ άρθρο 24, υποχ</w:t>
      </w:r>
      <w:r w:rsidR="001C2DC4">
        <w:rPr>
          <w:rFonts w:ascii="Verdana" w:eastAsia="Times New Roman" w:hAnsi="Verdana" w:cs="Times New Roman"/>
        </w:rPr>
        <w:t xml:space="preserve">ρεούται να προσέλθει στον Δήμο </w:t>
      </w:r>
      <w:proofErr w:type="spellStart"/>
      <w:r w:rsidRPr="00F809D0">
        <w:rPr>
          <w:rFonts w:ascii="Verdana" w:eastAsia="Times New Roman" w:hAnsi="Verdana" w:cs="Times New Roman"/>
        </w:rPr>
        <w:t>Κεφαλλονιάς</w:t>
      </w:r>
      <w:proofErr w:type="spellEnd"/>
      <w:r w:rsidRPr="00F809D0">
        <w:rPr>
          <w:rFonts w:ascii="Verdana" w:eastAsia="Times New Roman" w:hAnsi="Verdana" w:cs="Times New Roman"/>
        </w:rPr>
        <w:t>,</w:t>
      </w:r>
      <w:r w:rsidR="00ED28BE" w:rsidRPr="00F809D0">
        <w:rPr>
          <w:rFonts w:ascii="Verdana" w:eastAsia="Times New Roman" w:hAnsi="Verdana" w:cs="Times New Roman"/>
        </w:rPr>
        <w:t xml:space="preserve"> μέσα σε διάστημα (10) ημερών από την ημερομηνία  κοινοποίησης της ανακοίνωσης για την υπογραφή της σχετικής σύμβασης προσκομίζοντας και την προβλεπόμενη εγγύηση καλής εκτέλεσης αυτής (άρθρο 24 ΕΚΠΟΤΑ)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ΑΡΘΡΟ 7</w:t>
      </w:r>
      <w:r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 xml:space="preserve">Σύμβαση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Η σύμβαση συντάσσεται από τον αρμόδιο υπάλληλο και περιλαμβάνει όλα τα στοιχεία που αναφέρονται στο άρθρο 25 του ΕΚΠΟΤΑ. Η σύμβαση καταρτίζεται με βάση τους όρους της διακήρυξης και των τευχών που τη </w:t>
      </w:r>
      <w:r w:rsidRPr="00F809D0">
        <w:rPr>
          <w:rFonts w:ascii="Verdana" w:eastAsia="Times New Roman" w:hAnsi="Verdana" w:cs="Times New Roman"/>
        </w:rPr>
        <w:lastRenderedPageBreak/>
        <w:t xml:space="preserve">συνοδεύουν που με την προσφορά του αποδέχεται ο ανάδοχος. Η σύμβαση δεν μπορεί να περιέχει όρους αντίθετους με τα παραπάνω στοιχεία.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ΑΡΘΡΟ 8</w:t>
      </w:r>
      <w:r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 xml:space="preserve">Ποινικές ρήτρες – έκπτωση αναδόχου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  <w:lang w:eastAsia="el-GR"/>
        </w:rPr>
      </w:pPr>
      <w:r w:rsidRPr="00F809D0">
        <w:rPr>
          <w:rFonts w:ascii="Verdana" w:eastAsia="Times New Roman" w:hAnsi="Verdana" w:cs="Times New Roman"/>
        </w:rPr>
        <w:t>Εφόσον υπάρξει αδικαιολόγητη υπέρβαση της συμβατικής προθεσμίας εκτέλεσης της προμήθειας μπορούν να επιβληθούν ποινικές ρήτρες σύμφωνα με τις διατάξεις των άρθρων 27 και 33 του ΕΚΠΟΤΑ.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ΑΡΘΡΟ 9</w:t>
      </w:r>
      <w:r w:rsidRPr="00F809D0">
        <w:rPr>
          <w:rFonts w:ascii="Verdana" w:eastAsia="Times New Roman" w:hAnsi="Verdana" w:cs="Times New Roman"/>
          <w:b/>
          <w:vertAlign w:val="superscript"/>
        </w:rPr>
        <w:t>ο</w:t>
      </w:r>
      <w:r w:rsidRPr="00F809D0">
        <w:rPr>
          <w:rFonts w:ascii="Verdana" w:eastAsia="Times New Roman" w:hAnsi="Verdana" w:cs="Times New Roman"/>
          <w:b/>
        </w:rPr>
        <w:t xml:space="preserve">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Παραλαβή</w:t>
      </w:r>
    </w:p>
    <w:p w:rsidR="00915A8B" w:rsidRPr="00915A8B" w:rsidRDefault="008F74BC" w:rsidP="00915A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Η παραλαβή </w:t>
      </w:r>
      <w:r w:rsidR="00ED28BE" w:rsidRPr="00F809D0">
        <w:rPr>
          <w:rFonts w:ascii="Verdana" w:eastAsia="Times New Roman" w:hAnsi="Verdana" w:cs="Times New Roman"/>
        </w:rPr>
        <w:t xml:space="preserve">της προμήθειας </w:t>
      </w:r>
      <w:r w:rsidRPr="00F809D0">
        <w:rPr>
          <w:rFonts w:ascii="Verdana" w:eastAsia="Times New Roman" w:hAnsi="Verdana" w:cs="Times New Roman"/>
        </w:rPr>
        <w:t>, θα γίνει από την</w:t>
      </w:r>
      <w:r w:rsidR="00ED28BE" w:rsidRPr="00F809D0">
        <w:rPr>
          <w:rFonts w:ascii="Verdana" w:eastAsia="Times New Roman" w:hAnsi="Verdana" w:cs="Times New Roman"/>
        </w:rPr>
        <w:t xml:space="preserve"> αρμόδια επιτροπή ΕΚΠΟΤΑ</w:t>
      </w:r>
      <w:r w:rsidR="00C06CB3" w:rsidRPr="00F809D0">
        <w:rPr>
          <w:rFonts w:ascii="Verdana" w:eastAsia="Times New Roman" w:hAnsi="Verdana" w:cs="Times New Roman"/>
        </w:rPr>
        <w:t xml:space="preserve"> </w:t>
      </w:r>
      <w:r w:rsidRPr="00F809D0">
        <w:rPr>
          <w:rFonts w:ascii="Verdana" w:eastAsia="Times New Roman" w:hAnsi="Verdana" w:cs="Times New Roman"/>
        </w:rPr>
        <w:t>, σύμφωνα με το άρθρο 28 του Ε.Κ.Π.Ο.Τ.Α. Η παραλαβή πραγματοποιείται μέσα στο οριζόμενο από τη σύμβαση χρόνο, κατά τα λοιπά ισχύουν τα αναφερόμενα στη σύμβαση και τα άρθρα 28, 29 του Ε.Κ.Π.Ο.Τ.Α.</w:t>
      </w:r>
    </w:p>
    <w:p w:rsidR="008F74BC" w:rsidRPr="00915A8B" w:rsidRDefault="00915A8B" w:rsidP="00915A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EC6B6A">
        <w:rPr>
          <w:rFonts w:ascii="Verdana" w:eastAsia="Times New Roman" w:hAnsi="Verdana" w:cs="Times New Roman"/>
        </w:rPr>
        <w:t xml:space="preserve">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10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  <w:r w:rsidR="008F74BC" w:rsidRPr="00F809D0">
        <w:rPr>
          <w:rFonts w:ascii="Verdana" w:eastAsia="Times New Roman" w:hAnsi="Verdana" w:cs="Times New Roman"/>
          <w:b/>
        </w:rPr>
        <w:t xml:space="preserve">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Πληρωμή</w:t>
      </w:r>
    </w:p>
    <w:p w:rsidR="008F74BC" w:rsidRPr="00F809D0" w:rsidRDefault="00C06CB3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Ολόκληρη η συμβατική αξία της προμήθειας θα πληρωθεί στον προμηθευτή μετά την οριστική η τμηματική παραλαβή των υλικών, με την έκδοση χρηματικού εντάλματος πληρωμής από τον Δήμο </w:t>
      </w:r>
      <w:proofErr w:type="spellStart"/>
      <w:r w:rsidRPr="00F809D0">
        <w:rPr>
          <w:rFonts w:ascii="Verdana" w:eastAsia="Times New Roman" w:hAnsi="Verdana" w:cs="Times New Roman"/>
        </w:rPr>
        <w:t>Κεφαλλονιάς</w:t>
      </w:r>
      <w:proofErr w:type="spellEnd"/>
      <w:r w:rsidRPr="00F809D0">
        <w:rPr>
          <w:rFonts w:ascii="Verdana" w:eastAsia="Times New Roman" w:hAnsi="Verdana" w:cs="Times New Roman"/>
        </w:rPr>
        <w:t xml:space="preserve"> το οποίο θα συνοδεύεται από τα νόμιμα δικαιολογητικά.</w:t>
      </w:r>
      <w:r w:rsidR="00290A7E" w:rsidRPr="00F809D0">
        <w:rPr>
          <w:rFonts w:ascii="Verdana" w:eastAsia="Times New Roman" w:hAnsi="Verdana" w:cs="Times New Roman"/>
        </w:rPr>
        <w:t xml:space="preserve"> </w:t>
      </w:r>
      <w:r w:rsidRPr="00F809D0">
        <w:rPr>
          <w:rFonts w:ascii="Verdana" w:eastAsia="Times New Roman" w:hAnsi="Verdana" w:cs="Times New Roman"/>
        </w:rPr>
        <w:t>Χορήγηση προκαταβολής δεν προβλέπεται (άρθρο 36 ΕΚΠΟΤΑ)</w:t>
      </w:r>
    </w:p>
    <w:p w:rsidR="008F74BC" w:rsidRPr="00F809D0" w:rsidRDefault="00915A8B" w:rsidP="001C2DC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EC6B6A">
        <w:rPr>
          <w:rFonts w:ascii="Verdana" w:eastAsia="Times New Roman" w:hAnsi="Verdana" w:cs="Times New Roman"/>
        </w:rPr>
        <w:t xml:space="preserve">  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11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  <w:r w:rsidR="008F74BC" w:rsidRPr="00F809D0">
        <w:rPr>
          <w:rFonts w:ascii="Verdana" w:eastAsia="Times New Roman" w:hAnsi="Verdana" w:cs="Times New Roman"/>
          <w:b/>
        </w:rPr>
        <w:t xml:space="preserve"> </w:t>
      </w:r>
    </w:p>
    <w:p w:rsidR="008F74BC" w:rsidRPr="00F809D0" w:rsidRDefault="00FA7C4A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 Η υπηρεσία διατηρεί το δικαίωμα να πραγματοποιεί έλεγχο ποιότητας των υπό προμήθεια ειδών σε πιστοποιημένα εργαστήρια σε τακτά χρονικά διαστήματα κατά την κρίση της, με έξοδα του προμηθευτή</w:t>
      </w:r>
    </w:p>
    <w:p w:rsidR="008F74BC" w:rsidRPr="00F809D0" w:rsidRDefault="00915A8B" w:rsidP="00AC06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EC6B6A">
        <w:rPr>
          <w:rFonts w:ascii="Verdana" w:eastAsia="Times New Roman" w:hAnsi="Verdana" w:cs="Times New Roman"/>
        </w:rPr>
        <w:t xml:space="preserve">                                              </w:t>
      </w:r>
      <w:r w:rsidR="00AC06AC">
        <w:rPr>
          <w:rFonts w:ascii="Verdana" w:eastAsia="Times New Roman" w:hAnsi="Verdana" w:cs="Times New Roman"/>
          <w:b/>
        </w:rPr>
        <w:t xml:space="preserve"> </w:t>
      </w:r>
      <w:r w:rsidR="008F74BC" w:rsidRPr="00F809D0">
        <w:rPr>
          <w:rFonts w:ascii="Verdana" w:eastAsia="Times New Roman" w:hAnsi="Verdana" w:cs="Times New Roman"/>
          <w:b/>
        </w:rPr>
        <w:t>ΑΡΘΡΟ 12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  <w:r w:rsidR="008F74BC" w:rsidRPr="00F809D0">
        <w:rPr>
          <w:rFonts w:ascii="Verdana" w:eastAsia="Times New Roman" w:hAnsi="Verdana" w:cs="Times New Roman"/>
          <w:b/>
        </w:rPr>
        <w:t xml:space="preserve">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Φόροι, Τέλη, Κρατήσεις</w:t>
      </w:r>
    </w:p>
    <w:p w:rsidR="008F74BC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Ο ανάδοχος υπόκειται σε όλους τους, βάσει των κείμενων διατάξεων, φόρους, τέλη, κρατήσεις που θα ισχύουν κατά την ημέρα της διενέργειας της προμήθειας. </w:t>
      </w:r>
    </w:p>
    <w:p w:rsidR="00AC06AC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AC06AC" w:rsidRPr="00F809D0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Αργοστόλι 01-12-15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AC06AC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Ο </w:t>
      </w:r>
      <w:proofErr w:type="spellStart"/>
      <w:r>
        <w:rPr>
          <w:rFonts w:ascii="Verdana" w:eastAsia="Times New Roman" w:hAnsi="Verdana" w:cs="Times New Roman"/>
        </w:rPr>
        <w:t>Συντάξας</w:t>
      </w:r>
      <w:proofErr w:type="spellEnd"/>
      <w:r>
        <w:rPr>
          <w:rFonts w:ascii="Verdana" w:eastAsia="Times New Roman" w:hAnsi="Verdana" w:cs="Times New Roman"/>
        </w:rPr>
        <w:t xml:space="preserve">           Η Προϊσταμένη Τμήματος        Η Προϊσταμένη Δ/</w:t>
      </w:r>
      <w:proofErr w:type="spellStart"/>
      <w:r>
        <w:rPr>
          <w:rFonts w:ascii="Verdana" w:eastAsia="Times New Roman" w:hAnsi="Verdana" w:cs="Times New Roman"/>
        </w:rPr>
        <w:t>νσης</w:t>
      </w:r>
      <w:proofErr w:type="spellEnd"/>
    </w:p>
    <w:p w:rsidR="00AC06AC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AC06AC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AC06AC" w:rsidRPr="00F809D0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Χ. </w:t>
      </w:r>
      <w:proofErr w:type="spellStart"/>
      <w:r>
        <w:rPr>
          <w:rFonts w:ascii="Verdana" w:eastAsia="Times New Roman" w:hAnsi="Verdana" w:cs="Times New Roman"/>
        </w:rPr>
        <w:t>Ρουχωτάς</w:t>
      </w:r>
      <w:proofErr w:type="spellEnd"/>
      <w:r>
        <w:rPr>
          <w:rFonts w:ascii="Verdana" w:eastAsia="Times New Roman" w:hAnsi="Verdana" w:cs="Times New Roman"/>
        </w:rPr>
        <w:t xml:space="preserve">                </w:t>
      </w:r>
      <w:proofErr w:type="spellStart"/>
      <w:r>
        <w:rPr>
          <w:rFonts w:ascii="Verdana" w:eastAsia="Times New Roman" w:hAnsi="Verdana" w:cs="Times New Roman"/>
        </w:rPr>
        <w:t>Α.Αμαραντίδου</w:t>
      </w:r>
      <w:proofErr w:type="spellEnd"/>
      <w:r>
        <w:rPr>
          <w:rFonts w:ascii="Verdana" w:eastAsia="Times New Roman" w:hAnsi="Verdana" w:cs="Times New Roman"/>
        </w:rPr>
        <w:t xml:space="preserve">               Ε. </w:t>
      </w:r>
      <w:proofErr w:type="spellStart"/>
      <w:r>
        <w:rPr>
          <w:rFonts w:ascii="Verdana" w:eastAsia="Times New Roman" w:hAnsi="Verdana" w:cs="Times New Roman"/>
        </w:rPr>
        <w:t>Χαϊτίδου</w:t>
      </w:r>
      <w:proofErr w:type="spellEnd"/>
      <w:r>
        <w:rPr>
          <w:rFonts w:ascii="Verdana" w:eastAsia="Times New Roman" w:hAnsi="Verdana" w:cs="Times New Roman"/>
        </w:rPr>
        <w:t>- Παπαδήμα</w:t>
      </w:r>
    </w:p>
    <w:tbl>
      <w:tblPr>
        <w:tblW w:w="10210" w:type="dxa"/>
        <w:jc w:val="center"/>
        <w:tblLook w:val="01E0"/>
      </w:tblPr>
      <w:tblGrid>
        <w:gridCol w:w="2793"/>
        <w:gridCol w:w="3113"/>
        <w:gridCol w:w="300"/>
        <w:gridCol w:w="4004"/>
      </w:tblGrid>
      <w:tr w:rsidR="008F74BC" w:rsidRPr="00F809D0" w:rsidTr="001A4798">
        <w:trPr>
          <w:jc w:val="center"/>
        </w:trPr>
        <w:tc>
          <w:tcPr>
            <w:tcW w:w="2793" w:type="dxa"/>
            <w:vAlign w:val="center"/>
          </w:tcPr>
          <w:p w:rsidR="008F74BC" w:rsidRPr="00F809D0" w:rsidRDefault="008F74BC" w:rsidP="001C2D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</w:rPr>
            </w:pPr>
          </w:p>
        </w:tc>
        <w:tc>
          <w:tcPr>
            <w:tcW w:w="3113" w:type="dxa"/>
          </w:tcPr>
          <w:p w:rsidR="001C2DC4" w:rsidRDefault="001C2DC4" w:rsidP="008F7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</w:t>
            </w:r>
          </w:p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00" w:type="dxa"/>
            <w:vMerge w:val="restart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8F74BC" w:rsidRPr="00F809D0" w:rsidTr="001A4798">
        <w:trPr>
          <w:jc w:val="center"/>
        </w:trPr>
        <w:tc>
          <w:tcPr>
            <w:tcW w:w="2793" w:type="dxa"/>
            <w:vMerge w:val="restart"/>
            <w:vAlign w:val="center"/>
          </w:tcPr>
          <w:p w:rsidR="008F74BC" w:rsidRPr="00F809D0" w:rsidRDefault="008F74BC" w:rsidP="00AC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113" w:type="dxa"/>
            <w:vMerge w:val="restart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  <w:p w:rsidR="00FA7C4A" w:rsidRPr="00F809D0" w:rsidRDefault="00FA7C4A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00" w:type="dxa"/>
            <w:vMerge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8F74BC" w:rsidRPr="00F809D0" w:rsidTr="001A4798">
        <w:trPr>
          <w:jc w:val="center"/>
        </w:trPr>
        <w:tc>
          <w:tcPr>
            <w:tcW w:w="2793" w:type="dxa"/>
            <w:vMerge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113" w:type="dxa"/>
            <w:vMerge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00" w:type="dxa"/>
            <w:vMerge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8F74BC" w:rsidRPr="00F809D0" w:rsidTr="001A4798">
        <w:trPr>
          <w:trHeight w:val="680"/>
          <w:jc w:val="center"/>
        </w:trPr>
        <w:tc>
          <w:tcPr>
            <w:tcW w:w="2793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113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00" w:type="dxa"/>
            <w:vMerge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8F74BC" w:rsidRPr="00F809D0" w:rsidTr="001A4798">
        <w:trPr>
          <w:trHeight w:val="60"/>
          <w:jc w:val="center"/>
        </w:trPr>
        <w:tc>
          <w:tcPr>
            <w:tcW w:w="2793" w:type="dxa"/>
            <w:vAlign w:val="center"/>
          </w:tcPr>
          <w:p w:rsidR="008F74BC" w:rsidRPr="00F809D0" w:rsidRDefault="008F74BC" w:rsidP="00AC06AC">
            <w:pPr>
              <w:spacing w:after="0"/>
              <w:rPr>
                <w:rFonts w:ascii="Verdana" w:eastAsia="Times New Roman" w:hAnsi="Verdana" w:cs="Times New Roman"/>
                <w:b/>
                <w:lang w:eastAsia="el-GR"/>
              </w:rPr>
            </w:pPr>
          </w:p>
        </w:tc>
        <w:tc>
          <w:tcPr>
            <w:tcW w:w="3113" w:type="dxa"/>
          </w:tcPr>
          <w:p w:rsidR="008F74BC" w:rsidRPr="00F809D0" w:rsidRDefault="008F74BC" w:rsidP="008F74B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lang w:eastAsia="el-GR"/>
              </w:rPr>
            </w:pPr>
          </w:p>
        </w:tc>
        <w:tc>
          <w:tcPr>
            <w:tcW w:w="300" w:type="dxa"/>
            <w:vMerge/>
          </w:tcPr>
          <w:p w:rsidR="008F74BC" w:rsidRPr="00F809D0" w:rsidRDefault="008F74BC" w:rsidP="008F74B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lang w:eastAsia="el-GR"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AC06AC">
            <w:pPr>
              <w:spacing w:after="0"/>
              <w:rPr>
                <w:rFonts w:ascii="Verdana" w:eastAsia="Times New Roman" w:hAnsi="Verdana" w:cs="Times New Roman"/>
                <w:b/>
                <w:lang w:eastAsia="el-GR"/>
              </w:rPr>
            </w:pPr>
          </w:p>
        </w:tc>
      </w:tr>
      <w:tr w:rsidR="008F74BC" w:rsidRPr="008F74BC" w:rsidTr="001A4798">
        <w:trPr>
          <w:trHeight w:val="60"/>
          <w:jc w:val="center"/>
        </w:trPr>
        <w:tc>
          <w:tcPr>
            <w:tcW w:w="2793" w:type="dxa"/>
            <w:vAlign w:val="center"/>
          </w:tcPr>
          <w:p w:rsidR="008F74BC" w:rsidRPr="00EC6B6A" w:rsidRDefault="008F74BC" w:rsidP="00FA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8F74BC" w:rsidRPr="008F74BC" w:rsidRDefault="008F74BC" w:rsidP="00FA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</w:tcPr>
          <w:p w:rsidR="008F74BC" w:rsidRPr="008F74BC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4" w:type="dxa"/>
            <w:vAlign w:val="center"/>
          </w:tcPr>
          <w:p w:rsidR="008F74BC" w:rsidRPr="008F74BC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74BC" w:rsidRPr="008F74BC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6AC" w:rsidRDefault="00AC06AC" w:rsidP="00AC06AC">
      <w:pPr>
        <w:rPr>
          <w:rFonts w:ascii="Times New Roman" w:eastAsia="Times New Roman" w:hAnsi="Times New Roman" w:cs="Times New Roman"/>
        </w:rPr>
      </w:pPr>
    </w:p>
    <w:sectPr w:rsidR="00AC06AC" w:rsidSect="003C6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35"/>
    <w:multiLevelType w:val="hybridMultilevel"/>
    <w:tmpl w:val="A4E8DFAA"/>
    <w:lvl w:ilvl="0" w:tplc="0408000F">
      <w:start w:val="1"/>
      <w:numFmt w:val="decimal"/>
      <w:lvlText w:val="%1."/>
      <w:lvlJc w:val="left"/>
      <w:pPr>
        <w:ind w:left="702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2136"/>
    <w:multiLevelType w:val="hybridMultilevel"/>
    <w:tmpl w:val="A0EE4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29E8"/>
    <w:multiLevelType w:val="hybridMultilevel"/>
    <w:tmpl w:val="283A9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80EE8"/>
    <w:multiLevelType w:val="hybridMultilevel"/>
    <w:tmpl w:val="9FD8D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4005F"/>
    <w:rsid w:val="00120DA3"/>
    <w:rsid w:val="00162292"/>
    <w:rsid w:val="001C2DC4"/>
    <w:rsid w:val="00213945"/>
    <w:rsid w:val="00290A7E"/>
    <w:rsid w:val="0033250B"/>
    <w:rsid w:val="003C688D"/>
    <w:rsid w:val="004B2DAD"/>
    <w:rsid w:val="006C6A68"/>
    <w:rsid w:val="00715E56"/>
    <w:rsid w:val="00797AD8"/>
    <w:rsid w:val="007B3E4E"/>
    <w:rsid w:val="00890889"/>
    <w:rsid w:val="008F74BC"/>
    <w:rsid w:val="00915A8B"/>
    <w:rsid w:val="0094005F"/>
    <w:rsid w:val="009F36FF"/>
    <w:rsid w:val="00AC06AC"/>
    <w:rsid w:val="00C06CB3"/>
    <w:rsid w:val="00C63AF6"/>
    <w:rsid w:val="00C85024"/>
    <w:rsid w:val="00CF314B"/>
    <w:rsid w:val="00D3258D"/>
    <w:rsid w:val="00DD51DB"/>
    <w:rsid w:val="00EC6B6A"/>
    <w:rsid w:val="00ED28BE"/>
    <w:rsid w:val="00F809D0"/>
    <w:rsid w:val="00F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alfatech06</dc:creator>
  <cp:lastModifiedBy>pagwnhs</cp:lastModifiedBy>
  <cp:revision>2</cp:revision>
  <cp:lastPrinted>2015-11-25T08:09:00Z</cp:lastPrinted>
  <dcterms:created xsi:type="dcterms:W3CDTF">2015-12-21T08:54:00Z</dcterms:created>
  <dcterms:modified xsi:type="dcterms:W3CDTF">2015-12-21T08:54:00Z</dcterms:modified>
</cp:coreProperties>
</file>