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4C" w:rsidRPr="0020274C" w:rsidRDefault="0020274C" w:rsidP="0020274C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20274C" w:rsidRPr="0020274C" w:rsidRDefault="0020274C" w:rsidP="0020274C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861"/>
        <w:gridCol w:w="7661"/>
      </w:tblGrid>
      <w:tr w:rsidR="0020274C" w:rsidRPr="0020274C" w:rsidTr="00394177">
        <w:tc>
          <w:tcPr>
            <w:tcW w:w="942" w:type="dxa"/>
          </w:tcPr>
          <w:p w:rsidR="0020274C" w:rsidRPr="0020274C" w:rsidRDefault="0020274C" w:rsidP="0020274C">
            <w:pPr>
              <w:suppressAutoHyphens/>
              <w:spacing w:after="0" w:line="240" w:lineRule="auto"/>
              <w:ind w:right="-483"/>
              <w:rPr>
                <w:rFonts w:ascii="Arial" w:eastAsia="Times New Roman" w:hAnsi="Arial" w:cs="Arial"/>
                <w:b/>
                <w:lang w:eastAsia="zh-CN"/>
              </w:rPr>
            </w:pPr>
            <w:r w:rsidRPr="0020274C">
              <w:rPr>
                <w:rFonts w:ascii="Arial" w:eastAsia="Times New Roman" w:hAnsi="Arial" w:cs="Arial"/>
                <w:b/>
                <w:lang w:eastAsia="zh-CN"/>
              </w:rPr>
              <w:t xml:space="preserve">ΘΕΜΑ: </w:t>
            </w:r>
          </w:p>
          <w:p w:rsidR="0020274C" w:rsidRPr="0020274C" w:rsidRDefault="0020274C" w:rsidP="0020274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zh-CN"/>
              </w:rPr>
            </w:pPr>
            <w:r w:rsidRPr="0020274C">
              <w:rPr>
                <w:rFonts w:ascii="Arial" w:eastAsia="Times New Roman" w:hAnsi="Arial" w:cs="Arial"/>
                <w:b/>
                <w:lang w:eastAsia="zh-CN"/>
              </w:rPr>
              <w:t xml:space="preserve">                                </w:t>
            </w:r>
          </w:p>
        </w:tc>
        <w:tc>
          <w:tcPr>
            <w:tcW w:w="8805" w:type="dxa"/>
          </w:tcPr>
          <w:p w:rsidR="0020274C" w:rsidRPr="0020274C" w:rsidRDefault="0020274C" w:rsidP="002027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  <w:r w:rsidRPr="0020274C">
              <w:rPr>
                <w:rFonts w:ascii="Arial" w:eastAsia="Times New Roman" w:hAnsi="Arial" w:cs="Arial"/>
                <w:b/>
                <w:lang w:eastAsia="zh-CN"/>
              </w:rPr>
              <w:t xml:space="preserve">ΠΡΟΜΗΘΕΙΑ </w:t>
            </w:r>
            <w:r w:rsidRPr="0020274C">
              <w:rPr>
                <w:rFonts w:ascii="Arial" w:eastAsia="Times New Roman" w:hAnsi="Arial" w:cs="Arial"/>
                <w:b/>
                <w:lang w:val="en-US" w:eastAsia="zh-CN"/>
              </w:rPr>
              <w:t>ETOIMOY</w:t>
            </w:r>
            <w:r w:rsidRPr="0020274C">
              <w:rPr>
                <w:rFonts w:ascii="Arial" w:eastAsia="Times New Roman" w:hAnsi="Arial" w:cs="Arial"/>
                <w:b/>
                <w:lang w:eastAsia="zh-CN"/>
              </w:rPr>
              <w:t xml:space="preserve"> ΣΚΥΡΟΔΕΜΑΤΟΣ ΣΥΝΤΗΡΗΣΗΣ ΟΔΙΚΟΥ ΔΙΚΤΥΟΥ              </w:t>
            </w:r>
          </w:p>
          <w:p w:rsidR="0020274C" w:rsidRPr="0020274C" w:rsidRDefault="0020274C" w:rsidP="002027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  <w:r w:rsidRPr="0020274C">
              <w:rPr>
                <w:rFonts w:ascii="Arial" w:eastAsia="Times New Roman" w:hAnsi="Arial" w:cs="Arial"/>
                <w:b/>
                <w:lang w:eastAsia="zh-CN"/>
              </w:rPr>
              <w:t xml:space="preserve">                                         Δ.Ε ΛΕΙΒΑΘΟΥΣ</w:t>
            </w:r>
          </w:p>
          <w:p w:rsidR="0020274C" w:rsidRPr="0020274C" w:rsidRDefault="0020274C" w:rsidP="002027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  <w:r w:rsidRPr="0020274C">
              <w:rPr>
                <w:rFonts w:ascii="Arial" w:eastAsia="Times New Roman" w:hAnsi="Arial" w:cs="Arial"/>
                <w:b/>
                <w:lang w:eastAsia="zh-CN"/>
              </w:rPr>
              <w:t xml:space="preserve">                                   </w:t>
            </w:r>
          </w:p>
          <w:p w:rsidR="0020274C" w:rsidRPr="0020274C" w:rsidRDefault="0020274C" w:rsidP="0020274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  <w:r w:rsidRPr="0020274C">
              <w:rPr>
                <w:rFonts w:ascii="Arial" w:eastAsia="Times New Roman" w:hAnsi="Arial" w:cs="Arial"/>
                <w:b/>
                <w:lang w:eastAsia="zh-CN"/>
              </w:rPr>
              <w:t xml:space="preserve">                               ΤΕΧΝΙΚΗ ΕΚΘΕΣΗ</w:t>
            </w:r>
          </w:p>
        </w:tc>
      </w:tr>
    </w:tbl>
    <w:p w:rsidR="0020274C" w:rsidRPr="0020274C" w:rsidRDefault="0020274C" w:rsidP="0020274C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20274C" w:rsidRPr="0020274C" w:rsidRDefault="0020274C" w:rsidP="002027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20274C">
        <w:rPr>
          <w:rFonts w:ascii="Arial" w:eastAsia="Times New Roman" w:hAnsi="Arial" w:cs="Arial"/>
          <w:lang w:eastAsia="zh-CN"/>
        </w:rPr>
        <w:t xml:space="preserve">   Με την παρούσα μελέτη </w:t>
      </w:r>
      <w:r w:rsidRPr="0020274C">
        <w:rPr>
          <w:rFonts w:ascii="Arial" w:eastAsia="Times New Roman" w:hAnsi="Arial" w:cs="Arial"/>
          <w:b/>
          <w:lang w:eastAsia="zh-CN"/>
        </w:rPr>
        <w:t xml:space="preserve"> </w:t>
      </w:r>
      <w:r w:rsidRPr="0020274C">
        <w:rPr>
          <w:rFonts w:ascii="Arial" w:eastAsia="Times New Roman" w:hAnsi="Arial" w:cs="Arial"/>
          <w:color w:val="000000"/>
          <w:lang w:eastAsia="el-GR"/>
        </w:rPr>
        <w:t xml:space="preserve">προβλέπεται η προμήθεια σκυροδέματος του τύπου </w:t>
      </w:r>
      <w:r w:rsidRPr="0020274C">
        <w:rPr>
          <w:rFonts w:ascii="Arial" w:eastAsia="Times New Roman" w:hAnsi="Arial" w:cs="Arial"/>
          <w:color w:val="000000"/>
          <w:lang w:val="en-US" w:eastAsia="el-GR"/>
        </w:rPr>
        <w:t>C</w:t>
      </w:r>
      <w:r w:rsidRPr="0020274C">
        <w:rPr>
          <w:rFonts w:ascii="Arial" w:eastAsia="Times New Roman" w:hAnsi="Arial" w:cs="Arial"/>
          <w:color w:val="000000"/>
          <w:lang w:eastAsia="el-GR"/>
        </w:rPr>
        <w:t>16/20 ποσότητας 235 μ3  καθώς και η προμήθεια δομικού πλέγματος,Β500</w:t>
      </w:r>
      <w:r w:rsidRPr="0020274C">
        <w:rPr>
          <w:rFonts w:ascii="Arial" w:eastAsia="Times New Roman" w:hAnsi="Arial" w:cs="Arial"/>
          <w:color w:val="000000"/>
          <w:lang w:val="en-US" w:eastAsia="el-GR"/>
        </w:rPr>
        <w:t>C</w:t>
      </w:r>
      <w:r w:rsidRPr="0020274C">
        <w:rPr>
          <w:rFonts w:ascii="Arial" w:eastAsia="Times New Roman" w:hAnsi="Arial" w:cs="Arial"/>
          <w:color w:val="000000"/>
          <w:lang w:eastAsia="el-GR"/>
        </w:rPr>
        <w:t>, ποσότητας 3.375 Κ</w:t>
      </w:r>
      <w:r w:rsidRPr="0020274C">
        <w:rPr>
          <w:rFonts w:ascii="Arial" w:eastAsia="Times New Roman" w:hAnsi="Arial" w:cs="Arial"/>
          <w:color w:val="000000"/>
          <w:lang w:val="en-US" w:eastAsia="el-GR"/>
        </w:rPr>
        <w:t>g</w:t>
      </w:r>
      <w:r w:rsidRPr="0020274C">
        <w:rPr>
          <w:rFonts w:ascii="Arial" w:eastAsia="Times New Roman" w:hAnsi="Arial" w:cs="Arial"/>
          <w:color w:val="000000"/>
          <w:lang w:eastAsia="el-GR"/>
        </w:rPr>
        <w:t xml:space="preserve"> και αφορούν την επισκευή και βελτίωση του οδικού δικτύου της Δ.Ε Λειβαθούς. (Αποκατάσταση φθορών οδοστρωμάτων, πεζοδρομίων, κατασκευή τοιχίων αντιστήριξης σε διάφορα σημεία του οδικού δικτύου που έχουν αστοχήσει από κατολισθήσεις η καθιζήσεις λόγω των βροχοπτώσεων, και των σεισμών που έπληξαν το νησί μας.</w:t>
      </w:r>
    </w:p>
    <w:p w:rsidR="0020274C" w:rsidRPr="0020274C" w:rsidRDefault="0020274C" w:rsidP="002027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20274C">
        <w:rPr>
          <w:rFonts w:ascii="Arial" w:eastAsia="Times New Roman" w:hAnsi="Arial" w:cs="Arial"/>
          <w:color w:val="000000"/>
          <w:lang w:eastAsia="el-GR"/>
        </w:rPr>
        <w:t xml:space="preserve">  Οι ποσότητες της παρούσης προμήθειας θα παραδίδονται τμηματικά από ιδιωτικές μονάδες παραγωγής και θα ενσωματώνονται σε έργα και εργασίες που θα προκύπτουν σε διάφορα σημεία στα όρια της Δ.Ε Λειβαθούς.</w:t>
      </w:r>
    </w:p>
    <w:p w:rsidR="0020274C" w:rsidRPr="0020274C" w:rsidRDefault="0020274C" w:rsidP="002027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20274C">
        <w:rPr>
          <w:rFonts w:ascii="Arial" w:eastAsia="Times New Roman" w:hAnsi="Arial" w:cs="Arial"/>
          <w:color w:val="000000"/>
          <w:lang w:eastAsia="el-GR"/>
        </w:rPr>
        <w:t xml:space="preserve">  Οι εργασίες διάστρωσης συμπύκνωσης και τοποθέτησης του υλικού, θα γίνεται από το εργατοτεχνικό προσωπικό του Δήμου με την επίβλεψη της Δ/νσης Τεχνικών Υπηρεσιών, ενώ τα υλικά θα καλύπτονται με τα ισχύοντα πιστοποιητικά,</w:t>
      </w:r>
      <w:r w:rsidRPr="0020274C">
        <w:rPr>
          <w:rFonts w:ascii="Arial" w:eastAsia="Times New Roman" w:hAnsi="Arial" w:cs="Arial"/>
          <w:color w:val="000000"/>
          <w:lang w:val="en-US" w:eastAsia="el-GR"/>
        </w:rPr>
        <w:t>ISO</w:t>
      </w:r>
      <w:r w:rsidRPr="0020274C">
        <w:rPr>
          <w:rFonts w:ascii="Arial" w:eastAsia="Times New Roman" w:hAnsi="Arial" w:cs="Arial"/>
          <w:color w:val="000000"/>
          <w:lang w:eastAsia="el-GR"/>
        </w:rPr>
        <w:t>,</w:t>
      </w:r>
      <w:r w:rsidRPr="0020274C">
        <w:rPr>
          <w:rFonts w:ascii="Arial" w:eastAsia="Times New Roman" w:hAnsi="Arial" w:cs="Arial"/>
          <w:color w:val="000000"/>
          <w:lang w:val="en-US" w:eastAsia="el-GR"/>
        </w:rPr>
        <w:t>EN</w:t>
      </w:r>
      <w:r w:rsidRPr="0020274C">
        <w:rPr>
          <w:rFonts w:ascii="Arial" w:eastAsia="Times New Roman" w:hAnsi="Arial" w:cs="Arial"/>
          <w:color w:val="000000"/>
          <w:lang w:eastAsia="el-GR"/>
        </w:rPr>
        <w:t>,</w:t>
      </w:r>
      <w:r w:rsidRPr="0020274C">
        <w:rPr>
          <w:rFonts w:ascii="Arial" w:eastAsia="Times New Roman" w:hAnsi="Arial" w:cs="Arial"/>
          <w:color w:val="000000"/>
          <w:lang w:val="en-US" w:eastAsia="el-GR"/>
        </w:rPr>
        <w:t>CE</w:t>
      </w:r>
    </w:p>
    <w:p w:rsidR="0020274C" w:rsidRPr="0020274C" w:rsidRDefault="0020274C" w:rsidP="002027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20274C">
        <w:rPr>
          <w:rFonts w:ascii="Arial" w:eastAsia="Times New Roman" w:hAnsi="Arial" w:cs="Arial"/>
          <w:color w:val="000000"/>
          <w:lang w:eastAsia="el-GR"/>
        </w:rPr>
        <w:t xml:space="preserve">  Για τα αδρανή του σκυροδέματος ισχύει το πρότυπο ΕΛΟΤ ΕΝ 12620 :2002( ΚΥΑ 5328/122/ΦΕΚ386Β/20-3-2007), για την παραγωγή και μεταφορά του σκυροδέματος ισχύει η Ελληνική Τεχνική Προδιαγραφή ΕΛΟΤ ΤΟ 1501-01-01-00 που εγκρίθηκε μαζί με 440 (ΕΤΕΠ) με την υπ.αριθ. ΔΙΠΑΔ/ΟΙΚ/273/ΦΕΚ 2221Β/30-7-2012 Υπουργική Απόφαση και γενικώς εφαρμόζεται ο (Κ.Τ.Σ)</w:t>
      </w:r>
    </w:p>
    <w:p w:rsidR="0020274C" w:rsidRPr="0020274C" w:rsidRDefault="0020274C" w:rsidP="002027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20274C">
        <w:rPr>
          <w:rFonts w:ascii="Arial" w:eastAsia="Times New Roman" w:hAnsi="Arial" w:cs="Arial"/>
          <w:color w:val="000000"/>
          <w:lang w:eastAsia="el-GR"/>
        </w:rPr>
        <w:t xml:space="preserve">    Όλα τα  υλικά θα ακολουθούν τις σχετικές Εθνικές Τεχνικές Προδιαγραφές καθώς και τα σχετικά Ευρωπαϊκά Πρότυπα. Για τη διενέργεια του διαγωνισμού και την εκτέλεση της προμήθειας </w:t>
      </w:r>
      <w:r w:rsidRPr="0020274C">
        <w:rPr>
          <w:rFonts w:ascii="Arial" w:eastAsia="Times New Roman" w:hAnsi="Arial" w:cs="Arial"/>
          <w:color w:val="000000"/>
          <w:sz w:val="24"/>
          <w:lang w:eastAsia="el-GR"/>
        </w:rPr>
        <w:t>ισχύουν οι διατάξεις</w:t>
      </w:r>
      <w:r w:rsidRPr="0020274C">
        <w:rPr>
          <w:rFonts w:ascii="Arial" w:eastAsia="Times New Roman" w:hAnsi="Arial" w:cs="Arial"/>
          <w:b/>
          <w:color w:val="000000"/>
          <w:sz w:val="24"/>
          <w:lang w:eastAsia="el-GR"/>
        </w:rPr>
        <w:t xml:space="preserve"> </w:t>
      </w:r>
      <w:r w:rsidRPr="0020274C">
        <w:rPr>
          <w:rFonts w:ascii="Arial" w:eastAsia="Times New Roman" w:hAnsi="Arial" w:cs="Arial"/>
          <w:color w:val="000000"/>
          <w:sz w:val="24"/>
          <w:lang w:eastAsia="el-GR"/>
        </w:rPr>
        <w:t>:</w:t>
      </w:r>
    </w:p>
    <w:p w:rsidR="0020274C" w:rsidRPr="0020274C" w:rsidRDefault="0020274C" w:rsidP="0020274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20274C">
        <w:rPr>
          <w:rFonts w:ascii="Arial" w:eastAsia="Times New Roman" w:hAnsi="Arial" w:cs="Arial"/>
          <w:b/>
          <w:lang w:eastAsia="zh-CN"/>
        </w:rPr>
        <w:t xml:space="preserve">       </w:t>
      </w:r>
      <w:r w:rsidRPr="0020274C">
        <w:rPr>
          <w:rFonts w:ascii="Arial" w:eastAsia="Times New Roman" w:hAnsi="Arial" w:cs="Arial"/>
          <w:lang w:eastAsia="zh-CN"/>
        </w:rPr>
        <w:t xml:space="preserve"> 1) του Ν.2286/95 ¨Προμήθειες του Δημόσιου Τομέα και Ρυθμίσεις συναφών θεμάτων¨</w:t>
      </w:r>
    </w:p>
    <w:p w:rsidR="0020274C" w:rsidRPr="0020274C" w:rsidRDefault="0020274C" w:rsidP="0020274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lang w:eastAsia="zh-CN"/>
        </w:rPr>
      </w:pPr>
      <w:r w:rsidRPr="0020274C">
        <w:rPr>
          <w:rFonts w:ascii="Arial" w:eastAsia="Times New Roman" w:hAnsi="Arial" w:cs="Arial"/>
          <w:lang w:eastAsia="zh-CN"/>
        </w:rPr>
        <w:t>2) της απόφασης του ΥΠ. Εσωτερικών 11389/93 ¨ Ενιαίος κανονισμός προμηθειών</w:t>
      </w:r>
    </w:p>
    <w:p w:rsidR="0020274C" w:rsidRPr="0020274C" w:rsidRDefault="0020274C" w:rsidP="0020274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lang w:eastAsia="zh-CN"/>
        </w:rPr>
      </w:pPr>
      <w:r w:rsidRPr="0020274C">
        <w:rPr>
          <w:rFonts w:ascii="Arial" w:eastAsia="Times New Roman" w:hAnsi="Arial" w:cs="Arial"/>
          <w:lang w:eastAsia="zh-CN"/>
        </w:rPr>
        <w:t xml:space="preserve">    οργανισμών Τοπικής Αυτοδιοίκησης¨ (Φ.Ε.Κ 185/Β/23.3.93)</w:t>
      </w:r>
    </w:p>
    <w:p w:rsidR="0020274C" w:rsidRPr="0020274C" w:rsidRDefault="0020274C" w:rsidP="0020274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lang w:eastAsia="zh-CN"/>
        </w:rPr>
      </w:pPr>
      <w:r w:rsidRPr="0020274C">
        <w:rPr>
          <w:rFonts w:ascii="Arial" w:eastAsia="Times New Roman" w:hAnsi="Arial" w:cs="Arial"/>
          <w:lang w:eastAsia="zh-CN"/>
        </w:rPr>
        <w:t xml:space="preserve">3) του Π.Δ 370/95 ¨Προσαρμογή της ελληνικής Νομοθεσίας περι προμηθειών του Δημοσίου </w:t>
      </w:r>
    </w:p>
    <w:p w:rsidR="0020274C" w:rsidRPr="0020274C" w:rsidRDefault="0020274C" w:rsidP="0020274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lang w:eastAsia="zh-CN"/>
        </w:rPr>
      </w:pPr>
      <w:r w:rsidRPr="0020274C">
        <w:rPr>
          <w:rFonts w:ascii="Arial" w:eastAsia="Times New Roman" w:hAnsi="Arial" w:cs="Arial"/>
          <w:lang w:eastAsia="zh-CN"/>
        </w:rPr>
        <w:t xml:space="preserve">    προς το Κοινοτικό Δίκαιο…..¨ (Φ.Ε.Κ 199/Α)</w:t>
      </w:r>
    </w:p>
    <w:p w:rsidR="0020274C" w:rsidRPr="0020274C" w:rsidRDefault="0020274C" w:rsidP="0020274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lang w:eastAsia="zh-CN"/>
        </w:rPr>
      </w:pPr>
      <w:r w:rsidRPr="0020274C">
        <w:rPr>
          <w:rFonts w:ascii="Arial" w:eastAsia="Times New Roman" w:hAnsi="Arial" w:cs="Arial"/>
          <w:lang w:eastAsia="zh-CN"/>
        </w:rPr>
        <w:t>4) τις διατάξεις του Δ.Κ.Κ (Ν.3463/06)</w:t>
      </w:r>
    </w:p>
    <w:p w:rsidR="0020274C" w:rsidRPr="0020274C" w:rsidRDefault="0020274C" w:rsidP="0020274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lang w:eastAsia="zh-CN"/>
        </w:rPr>
      </w:pPr>
      <w:r w:rsidRPr="0020274C">
        <w:rPr>
          <w:rFonts w:ascii="Arial" w:eastAsia="Times New Roman" w:hAnsi="Arial" w:cs="Arial"/>
          <w:lang w:eastAsia="zh-CN"/>
        </w:rPr>
        <w:t>5) Ν.3852/2010 νόμος Καλλικράτη</w:t>
      </w:r>
    </w:p>
    <w:p w:rsidR="0020274C" w:rsidRPr="0020274C" w:rsidRDefault="0020274C" w:rsidP="0020274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lang w:eastAsia="zh-CN"/>
        </w:rPr>
      </w:pPr>
      <w:r w:rsidRPr="0020274C">
        <w:rPr>
          <w:rFonts w:ascii="Arial" w:eastAsia="Times New Roman" w:hAnsi="Arial" w:cs="Arial"/>
          <w:lang w:eastAsia="zh-CN"/>
        </w:rPr>
        <w:t>6) Τις σχετικές σε ισχύ εγκυκλίους που έχουν εκδοθεί κατά καιρούς και αφορούν προμήθειες</w:t>
      </w:r>
    </w:p>
    <w:p w:rsidR="0020274C" w:rsidRPr="0020274C" w:rsidRDefault="0020274C" w:rsidP="0020274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lang w:eastAsia="zh-CN"/>
        </w:rPr>
      </w:pPr>
      <w:r w:rsidRPr="0020274C">
        <w:rPr>
          <w:rFonts w:ascii="Arial" w:eastAsia="Times New Roman" w:hAnsi="Arial" w:cs="Arial"/>
          <w:lang w:eastAsia="zh-CN"/>
        </w:rPr>
        <w:t xml:space="preserve">    ΟΤΑ, όταν αυτές δεν έρχονται σε αντίθεση με το ν.2286/95</w:t>
      </w:r>
    </w:p>
    <w:p w:rsidR="0020274C" w:rsidRPr="0020274C" w:rsidRDefault="0020274C" w:rsidP="0020274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lang w:eastAsia="zh-CN"/>
        </w:rPr>
      </w:pPr>
      <w:r w:rsidRPr="0020274C">
        <w:rPr>
          <w:rFonts w:ascii="Arial" w:eastAsia="Times New Roman" w:hAnsi="Arial" w:cs="Arial"/>
          <w:lang w:eastAsia="zh-CN"/>
        </w:rPr>
        <w:t>7) του Ν.3861/10 ενίσχυση της διαφάνειας με την υποχρεωτική ανάρτηση νόμων και</w:t>
      </w:r>
    </w:p>
    <w:p w:rsidR="0020274C" w:rsidRPr="0020274C" w:rsidRDefault="0020274C" w:rsidP="0020274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lang w:eastAsia="zh-CN"/>
        </w:rPr>
      </w:pPr>
      <w:r w:rsidRPr="0020274C">
        <w:rPr>
          <w:rFonts w:ascii="Arial" w:eastAsia="Times New Roman" w:hAnsi="Arial" w:cs="Arial"/>
          <w:lang w:eastAsia="zh-CN"/>
        </w:rPr>
        <w:t xml:space="preserve">       πράξεων των κυβερνητικών, διοικητικών και αυτοδιοκητικών οργάνων στο διαδίκτυο</w:t>
      </w:r>
    </w:p>
    <w:p w:rsidR="0020274C" w:rsidRPr="0020274C" w:rsidRDefault="0020274C" w:rsidP="0020274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lang w:eastAsia="zh-CN"/>
        </w:rPr>
      </w:pPr>
      <w:r w:rsidRPr="0020274C">
        <w:rPr>
          <w:rFonts w:ascii="Arial" w:eastAsia="Times New Roman" w:hAnsi="Arial" w:cs="Arial"/>
          <w:lang w:eastAsia="zh-CN"/>
        </w:rPr>
        <w:t xml:space="preserve">     ¨Πρόγραμμα Διαύγεια¨ και άλλες διατάξεις (ΦΕΚ.112</w:t>
      </w:r>
      <w:r w:rsidRPr="0020274C">
        <w:rPr>
          <w:rFonts w:ascii="Arial" w:eastAsia="Times New Roman" w:hAnsi="Arial" w:cs="Arial"/>
          <w:vertAlign w:val="superscript"/>
          <w:lang w:eastAsia="zh-CN"/>
        </w:rPr>
        <w:t>Α</w:t>
      </w:r>
      <w:r w:rsidRPr="0020274C">
        <w:rPr>
          <w:rFonts w:ascii="Arial" w:eastAsia="Times New Roman" w:hAnsi="Arial" w:cs="Arial"/>
          <w:lang w:eastAsia="zh-CN"/>
        </w:rPr>
        <w:t>/13.7.10)</w:t>
      </w:r>
    </w:p>
    <w:p w:rsidR="0020274C" w:rsidRPr="0020274C" w:rsidRDefault="0020274C" w:rsidP="0020274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lang w:eastAsia="zh-CN"/>
        </w:rPr>
      </w:pPr>
      <w:r w:rsidRPr="0020274C">
        <w:rPr>
          <w:rFonts w:ascii="Arial" w:eastAsia="Times New Roman" w:hAnsi="Arial" w:cs="Arial"/>
          <w:lang w:eastAsia="zh-CN"/>
        </w:rPr>
        <w:t>8)  του Ν.4013/11 σύσταση ενιαίας Ανεξάρτητης Αρχής Δημοσίων Συμβάσεων &amp; Κεντρικού</w:t>
      </w:r>
    </w:p>
    <w:p w:rsidR="0020274C" w:rsidRPr="0020274C" w:rsidRDefault="0020274C" w:rsidP="0020274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lang w:eastAsia="zh-CN"/>
        </w:rPr>
      </w:pPr>
      <w:r w:rsidRPr="0020274C">
        <w:rPr>
          <w:rFonts w:ascii="Arial" w:eastAsia="Times New Roman" w:hAnsi="Arial" w:cs="Arial"/>
          <w:lang w:eastAsia="zh-CN"/>
        </w:rPr>
        <w:t xml:space="preserve">     Ηλεκτρονικού Μητρώου Δημοσίων Συμβάσεων (ΦΕΚ.204</w:t>
      </w:r>
      <w:r w:rsidRPr="0020274C">
        <w:rPr>
          <w:rFonts w:ascii="Arial" w:eastAsia="Times New Roman" w:hAnsi="Arial" w:cs="Arial"/>
          <w:vertAlign w:val="superscript"/>
          <w:lang w:eastAsia="zh-CN"/>
        </w:rPr>
        <w:t>Α</w:t>
      </w:r>
      <w:r w:rsidRPr="0020274C">
        <w:rPr>
          <w:rFonts w:ascii="Arial" w:eastAsia="Times New Roman" w:hAnsi="Arial" w:cs="Arial"/>
          <w:lang w:eastAsia="zh-CN"/>
        </w:rPr>
        <w:t>/15.9.11)</w:t>
      </w:r>
    </w:p>
    <w:p w:rsidR="0020274C" w:rsidRPr="0020274C" w:rsidRDefault="0020274C" w:rsidP="0020274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lang w:eastAsia="zh-CN"/>
        </w:rPr>
      </w:pPr>
      <w:r w:rsidRPr="0020274C">
        <w:rPr>
          <w:rFonts w:ascii="Arial" w:eastAsia="Times New Roman" w:hAnsi="Arial" w:cs="Arial"/>
          <w:lang w:eastAsia="zh-CN"/>
        </w:rPr>
        <w:t>9) του Π.Δ. 118/07 άρθρο 15 παρ.6</w:t>
      </w:r>
    </w:p>
    <w:p w:rsidR="0020274C" w:rsidRPr="0020274C" w:rsidRDefault="0020274C" w:rsidP="0020274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20274C">
        <w:rPr>
          <w:rFonts w:ascii="Arial" w:eastAsia="Times New Roman" w:hAnsi="Arial" w:cs="Arial"/>
          <w:lang w:eastAsia="zh-CN"/>
        </w:rPr>
        <w:t xml:space="preserve">       Η αξία της προμήθειας  είναι προϋπολογισμού 25.000,00 ευρώ με το Φ.Π.Α, από ΣΑΤΑ         </w:t>
      </w:r>
    </w:p>
    <w:p w:rsidR="0020274C" w:rsidRPr="0020274C" w:rsidRDefault="0020274C" w:rsidP="0020274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20274C">
        <w:rPr>
          <w:rFonts w:ascii="Arial" w:eastAsia="Times New Roman" w:hAnsi="Arial" w:cs="Arial"/>
          <w:lang w:eastAsia="zh-CN"/>
        </w:rPr>
        <w:t xml:space="preserve">   και είναι ενταγμένη με κωδικό 30.6662.07 στο τεχνικό πρόγραμμα του Δήμου για το  οικονομικό </w:t>
      </w:r>
    </w:p>
    <w:p w:rsidR="0020274C" w:rsidRPr="0020274C" w:rsidRDefault="0020274C" w:rsidP="0020274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20274C">
        <w:rPr>
          <w:rFonts w:ascii="Arial" w:eastAsia="Times New Roman" w:hAnsi="Arial" w:cs="Arial"/>
          <w:lang w:eastAsia="zh-CN"/>
        </w:rPr>
        <w:lastRenderedPageBreak/>
        <w:t xml:space="preserve">   έτος 2015.</w:t>
      </w:r>
    </w:p>
    <w:p w:rsidR="0020274C" w:rsidRPr="0020274C" w:rsidRDefault="0020274C" w:rsidP="002027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  <w:r w:rsidRPr="0020274C">
        <w:rPr>
          <w:rFonts w:ascii="Arial" w:eastAsia="Times New Roman" w:hAnsi="Arial" w:cs="Arial"/>
          <w:b/>
          <w:color w:val="000000"/>
          <w:sz w:val="24"/>
          <w:lang w:eastAsia="el-GR"/>
        </w:rPr>
        <w:t xml:space="preserve">   </w:t>
      </w:r>
      <w:r w:rsidRPr="0020274C">
        <w:rPr>
          <w:rFonts w:ascii="Arial" w:eastAsia="Times New Roman" w:hAnsi="Arial" w:cs="Arial"/>
          <w:color w:val="000000"/>
          <w:sz w:val="24"/>
          <w:lang w:eastAsia="el-GR"/>
        </w:rPr>
        <w:t xml:space="preserve"> </w:t>
      </w:r>
      <w:r w:rsidRPr="0020274C">
        <w:rPr>
          <w:rFonts w:ascii="Arial" w:eastAsia="Times New Roman" w:hAnsi="Arial" w:cs="Arial"/>
          <w:color w:val="000000"/>
          <w:lang w:eastAsia="el-GR"/>
        </w:rPr>
        <w:t>Η σύναψη σύμβασης εκτέλεσης προμήθειας  δύναται να  πραγματοποιηθεί</w:t>
      </w:r>
      <w:r w:rsidRPr="0020274C">
        <w:rPr>
          <w:rFonts w:ascii="Arial" w:eastAsia="Times New Roman" w:hAnsi="Arial" w:cs="Arial"/>
          <w:b/>
          <w:color w:val="000000"/>
          <w:lang w:eastAsia="el-GR"/>
        </w:rPr>
        <w:t xml:space="preserve"> </w:t>
      </w:r>
      <w:r w:rsidRPr="0020274C">
        <w:rPr>
          <w:rFonts w:ascii="Arial" w:eastAsia="Times New Roman" w:hAnsi="Arial" w:cs="Arial"/>
          <w:color w:val="000000"/>
          <w:lang w:eastAsia="el-GR"/>
        </w:rPr>
        <w:t xml:space="preserve"> </w:t>
      </w:r>
      <w:r w:rsidRPr="0020274C">
        <w:rPr>
          <w:rFonts w:ascii="Arial" w:eastAsia="Times New Roman" w:hAnsi="Arial" w:cs="Arial"/>
          <w:b/>
          <w:color w:val="000000"/>
          <w:lang w:eastAsia="el-GR"/>
        </w:rPr>
        <w:t xml:space="preserve"> </w:t>
      </w:r>
      <w:r w:rsidRPr="0020274C">
        <w:rPr>
          <w:rFonts w:ascii="Arial" w:eastAsia="Times New Roman" w:hAnsi="Arial" w:cs="Arial"/>
          <w:color w:val="000000"/>
          <w:lang w:eastAsia="el-GR"/>
        </w:rPr>
        <w:t>με πρόχειρο διαγωνισμό και με κριτήριο κατακύρωσης τη συμφερότερη  προσφορά σύμφωνα με την ισχύουσα νομοθεσία, άρθρο 2. Παρ.12, του  Ν.2286/1995 ΦΕΚ 19/Α,άρθρο 2 παρ.7, του άρθρου 3 παρ.10 και του άρθρου 23  παρ.4,5,6 της υπ.αρ. 11389/1993 Υπ.Απ. (ΦΕΚ 185/τ.Β), την Π 1/3305/03-11-2010 Απόφαση του Υπουργείου Οικονομίας, Ανταγωνιστικότητας και Ναυτιλίας και του   Π.Δ. 60/2007 ΦΕΚ 64/Α.,</w:t>
      </w:r>
      <w:r w:rsidRPr="0020274C">
        <w:rPr>
          <w:rFonts w:ascii="Arial" w:eastAsia="Times New Roman" w:hAnsi="Arial" w:cs="Arial"/>
          <w:color w:val="000000"/>
          <w:sz w:val="24"/>
          <w:lang w:eastAsia="el-GR"/>
        </w:rPr>
        <w:t xml:space="preserve">ενώ σε εφαρμογή του Π.Δ 334/1994, πρέπει ο προμηθευτής να προσκομίσει το Πιστοποιητικό ΕΚ για τον έλεγχο Παραγωγής στο Εργοστάσιο από αναγνωρισμένο οργανισμό πιστοποίησης, το πιστοποιητικό Συστήματος Διαχείρισης Ποιότητας σύμφωνα με ΕΝ </w:t>
      </w:r>
      <w:r w:rsidRPr="0020274C">
        <w:rPr>
          <w:rFonts w:ascii="Arial" w:eastAsia="Times New Roman" w:hAnsi="Arial" w:cs="Arial"/>
          <w:color w:val="000000"/>
          <w:sz w:val="24"/>
          <w:lang w:val="en-US" w:eastAsia="el-GR"/>
        </w:rPr>
        <w:t>ISO</w:t>
      </w:r>
      <w:r w:rsidRPr="0020274C">
        <w:rPr>
          <w:rFonts w:ascii="Arial" w:eastAsia="Times New Roman" w:hAnsi="Arial" w:cs="Arial"/>
          <w:color w:val="000000"/>
          <w:sz w:val="24"/>
          <w:lang w:eastAsia="el-GR"/>
        </w:rPr>
        <w:t xml:space="preserve"> 9001 καθώς και τη δήλωση Συμμόρφωσης </w:t>
      </w:r>
      <w:r w:rsidRPr="0020274C">
        <w:rPr>
          <w:rFonts w:ascii="Arial" w:eastAsia="Times New Roman" w:hAnsi="Arial" w:cs="Arial"/>
          <w:color w:val="000000"/>
          <w:sz w:val="24"/>
          <w:lang w:val="en-US" w:eastAsia="el-GR"/>
        </w:rPr>
        <w:t>CE</w:t>
      </w:r>
      <w:r w:rsidRPr="0020274C">
        <w:rPr>
          <w:rFonts w:ascii="Arial" w:eastAsia="Times New Roman" w:hAnsi="Arial" w:cs="Arial"/>
          <w:color w:val="000000"/>
          <w:sz w:val="24"/>
          <w:lang w:eastAsia="el-GR"/>
        </w:rPr>
        <w:t xml:space="preserve"> του προϊόντος.</w:t>
      </w:r>
    </w:p>
    <w:tbl>
      <w:tblPr>
        <w:tblW w:w="11803" w:type="pct"/>
        <w:tblLook w:val="0000"/>
      </w:tblPr>
      <w:tblGrid>
        <w:gridCol w:w="9532"/>
        <w:gridCol w:w="7306"/>
        <w:gridCol w:w="3279"/>
      </w:tblGrid>
      <w:tr w:rsidR="0020274C" w:rsidRPr="0020274C" w:rsidTr="00394177">
        <w:trPr>
          <w:trHeight w:val="243"/>
        </w:trPr>
        <w:tc>
          <w:tcPr>
            <w:tcW w:w="2369" w:type="pct"/>
            <w:shd w:val="clear" w:color="auto" w:fill="auto"/>
          </w:tcPr>
          <w:p w:rsidR="0020274C" w:rsidRPr="0020274C" w:rsidRDefault="0020274C" w:rsidP="0020274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20274C" w:rsidRPr="0020274C" w:rsidRDefault="0020274C" w:rsidP="0020274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0274C">
              <w:rPr>
                <w:rFonts w:ascii="Arial" w:eastAsia="Times New Roman" w:hAnsi="Arial" w:cs="Arial"/>
                <w:lang w:eastAsia="zh-CN"/>
              </w:rPr>
              <w:t>ΑΡΓΟΣΤΟΛΙ  5-11-15</w:t>
            </w:r>
          </w:p>
          <w:p w:rsidR="0020274C" w:rsidRPr="0020274C" w:rsidRDefault="0020274C" w:rsidP="0020274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0274C">
              <w:rPr>
                <w:rFonts w:ascii="Arial" w:eastAsia="Times New Roman" w:hAnsi="Arial" w:cs="Arial"/>
                <w:lang w:eastAsia="zh-CN"/>
              </w:rPr>
              <w:t xml:space="preserve">Ο ΣΥΝΤΑΞΑΣ              Η ΠΡΟΙΣΤΑΜΕΝΗ ΤΜΗΜΑΤΟΣ         Η ΠΡΟΙΣΤΑΜΕΝΗ Δ/ΝΣΗΣ   </w:t>
            </w:r>
          </w:p>
        </w:tc>
        <w:tc>
          <w:tcPr>
            <w:tcW w:w="1816" w:type="pct"/>
            <w:shd w:val="clear" w:color="auto" w:fill="auto"/>
          </w:tcPr>
          <w:p w:rsidR="0020274C" w:rsidRPr="0020274C" w:rsidRDefault="0020274C" w:rsidP="0020274C">
            <w:pPr>
              <w:suppressAutoHyphens/>
              <w:spacing w:after="0" w:line="240" w:lineRule="auto"/>
              <w:ind w:hanging="3143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815" w:type="pct"/>
          </w:tcPr>
          <w:p w:rsidR="0020274C" w:rsidRPr="0020274C" w:rsidRDefault="0020274C" w:rsidP="0020274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20274C">
              <w:rPr>
                <w:rFonts w:ascii="Arial" w:eastAsia="Times New Roman" w:hAnsi="Arial" w:cs="Arial"/>
                <w:lang w:eastAsia="zh-CN"/>
              </w:rPr>
              <w:t>Η ΠΡΟΙΣΤΑΜΕΝΗ ΤΜΗΜΑΤΟΣ</w:t>
            </w:r>
          </w:p>
          <w:p w:rsidR="0020274C" w:rsidRPr="0020274C" w:rsidRDefault="0020274C" w:rsidP="0020274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20274C" w:rsidRPr="0020274C" w:rsidTr="00394177">
        <w:tc>
          <w:tcPr>
            <w:tcW w:w="2369" w:type="pct"/>
            <w:shd w:val="clear" w:color="auto" w:fill="auto"/>
          </w:tcPr>
          <w:p w:rsidR="0020274C" w:rsidRPr="0020274C" w:rsidRDefault="0020274C" w:rsidP="002027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20274C">
              <w:rPr>
                <w:rFonts w:ascii="Arial" w:eastAsia="Times New Roman" w:hAnsi="Arial" w:cs="Arial"/>
                <w:bCs/>
                <w:lang w:eastAsia="zh-CN"/>
              </w:rPr>
              <w:t xml:space="preserve">                      </w:t>
            </w:r>
          </w:p>
          <w:p w:rsidR="0020274C" w:rsidRPr="0020274C" w:rsidRDefault="0020274C" w:rsidP="0020274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</w:p>
          <w:p w:rsidR="0020274C" w:rsidRPr="0020274C" w:rsidRDefault="0020274C" w:rsidP="0020274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20274C">
              <w:rPr>
                <w:rFonts w:ascii="Arial" w:eastAsia="Times New Roman" w:hAnsi="Arial" w:cs="Arial"/>
                <w:bCs/>
                <w:lang w:eastAsia="zh-CN"/>
              </w:rPr>
              <w:t xml:space="preserve">Χ  ΡΟΥΧΩΤΑΣ                    Α.ΑΜΑΡΑΝΤΙΔΟΥ                         ΠΑΠΑΔΗΜΑ- ΧΑΪΤΙΔΟΥ Ε                                                                                                         </w:t>
            </w:r>
          </w:p>
          <w:p w:rsidR="0020274C" w:rsidRPr="0020274C" w:rsidRDefault="0020274C" w:rsidP="0020274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20274C">
              <w:rPr>
                <w:rFonts w:ascii="Arial" w:eastAsia="Times New Roman" w:hAnsi="Arial" w:cs="Arial"/>
                <w:bCs/>
                <w:lang w:eastAsia="zh-CN"/>
              </w:rPr>
              <w:t xml:space="preserve">  </w:t>
            </w:r>
          </w:p>
          <w:p w:rsidR="0020274C" w:rsidRPr="0020274C" w:rsidRDefault="0020274C" w:rsidP="0020274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20274C">
              <w:rPr>
                <w:rFonts w:ascii="Arial" w:eastAsia="Times New Roman" w:hAnsi="Arial" w:cs="Arial"/>
                <w:bCs/>
                <w:lang w:eastAsia="zh-CN"/>
              </w:rPr>
              <w:t xml:space="preserve">                                                                                       </w:t>
            </w:r>
          </w:p>
        </w:tc>
        <w:tc>
          <w:tcPr>
            <w:tcW w:w="1816" w:type="pct"/>
            <w:shd w:val="clear" w:color="auto" w:fill="auto"/>
          </w:tcPr>
          <w:p w:rsidR="0020274C" w:rsidRPr="0020274C" w:rsidRDefault="0020274C" w:rsidP="002027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815" w:type="pct"/>
          </w:tcPr>
          <w:p w:rsidR="0020274C" w:rsidRPr="0020274C" w:rsidRDefault="0020274C" w:rsidP="0020274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  <w:p w:rsidR="0020274C" w:rsidRPr="0020274C" w:rsidRDefault="0020274C" w:rsidP="002027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20274C" w:rsidRPr="0020274C" w:rsidRDefault="0020274C" w:rsidP="002027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20274C">
              <w:rPr>
                <w:rFonts w:ascii="Arial" w:eastAsia="Times New Roman" w:hAnsi="Arial" w:cs="Arial"/>
                <w:lang w:eastAsia="zh-CN"/>
              </w:rPr>
              <w:t>Α.ΑΜΑΡΑΝΤΙΔΟΥ</w:t>
            </w:r>
          </w:p>
          <w:p w:rsidR="0020274C" w:rsidRPr="0020274C" w:rsidRDefault="0020274C" w:rsidP="002027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  <w:p w:rsidR="0020274C" w:rsidRPr="0020274C" w:rsidRDefault="0020274C" w:rsidP="0020274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:rsidR="0077195B" w:rsidRDefault="0077195B">
      <w:bookmarkStart w:id="0" w:name="_GoBack"/>
      <w:bookmarkEnd w:id="0"/>
    </w:p>
    <w:sectPr w:rsidR="0077195B" w:rsidSect="002228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274C"/>
    <w:rsid w:val="0020274C"/>
    <w:rsid w:val="00222899"/>
    <w:rsid w:val="00476E58"/>
    <w:rsid w:val="0077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alfatech06</dc:creator>
  <cp:lastModifiedBy>pagwnhs</cp:lastModifiedBy>
  <cp:revision>2</cp:revision>
  <dcterms:created xsi:type="dcterms:W3CDTF">2015-12-21T09:44:00Z</dcterms:created>
  <dcterms:modified xsi:type="dcterms:W3CDTF">2015-12-21T09:44:00Z</dcterms:modified>
</cp:coreProperties>
</file>